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2A2A32" w14:paraId="7159CBFC" w14:textId="77777777" w:rsidTr="003E3423">
        <w:trPr>
          <w:trHeight w:val="4120"/>
          <w:jc w:val="center"/>
        </w:trPr>
        <w:tc>
          <w:tcPr>
            <w:tcW w:w="5000" w:type="pct"/>
          </w:tcPr>
          <w:p w14:paraId="407EE76C" w14:textId="77777777" w:rsidR="003E3423" w:rsidRDefault="00E5141A" w:rsidP="003E3423">
            <w:pPr>
              <w:pStyle w:val="Geenafstand"/>
              <w:jc w:val="center"/>
              <w:rPr>
                <w:rFonts w:asciiTheme="majorHAnsi" w:eastAsiaTheme="majorEastAsia" w:hAnsiTheme="majorHAnsi" w:cstheme="majorBidi"/>
                <w:caps/>
                <w:sz w:val="24"/>
                <w:szCs w:val="24"/>
                <w:lang w:eastAsia="nl-NL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caps/>
                <w:noProof/>
                <w:lang w:eastAsia="nl-NL"/>
              </w:rPr>
              <w:drawing>
                <wp:inline distT="0" distB="0" distL="0" distR="0" wp14:anchorId="29794D67" wp14:editId="2D9B4122">
                  <wp:extent cx="4804565" cy="1191079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esot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7716" cy="119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80F592" w14:textId="77777777" w:rsidR="003E3423" w:rsidRDefault="003E3423" w:rsidP="003E3423">
            <w:pPr>
              <w:pStyle w:val="Geenafstand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2A2A32" w14:paraId="44001C1A" w14:textId="77777777" w:rsidTr="003E3423">
        <w:trPr>
          <w:trHeight w:val="2250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itel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1CF37C9C" w14:textId="77777777" w:rsidR="002A2A32" w:rsidRDefault="00FF488C" w:rsidP="009B591A">
                <w:pPr>
                  <w:pStyle w:val="Geenafstand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Energie Management Actieplan</w:t>
                </w:r>
              </w:p>
            </w:tc>
          </w:sdtContent>
        </w:sdt>
      </w:tr>
      <w:tr w:rsidR="002A2A32" w14:paraId="4929829D" w14:textId="77777777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Ondertitel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342EA76" w14:textId="77777777" w:rsidR="002A2A32" w:rsidRDefault="002A2A32" w:rsidP="006F6BBC">
                <w:pPr>
                  <w:pStyle w:val="Geenafstand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Conform </w:t>
                </w:r>
                <w:r w:rsidR="00EF392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3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.</w:t>
                </w:r>
                <w:r w:rsidR="00EF392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B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.</w:t>
                </w:r>
                <w:r w:rsidR="00EF392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</w:p>
            </w:tc>
          </w:sdtContent>
        </w:sdt>
      </w:tr>
      <w:tr w:rsidR="002A2A32" w14:paraId="733069CB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5884A164" w14:textId="77777777" w:rsidR="002A2A32" w:rsidRDefault="002A2A32">
            <w:pPr>
              <w:pStyle w:val="Geenafstand"/>
              <w:jc w:val="center"/>
            </w:pPr>
          </w:p>
        </w:tc>
      </w:tr>
      <w:tr w:rsidR="002A2A32" w14:paraId="6F52839D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357833D" w14:textId="77777777" w:rsidR="002A2A32" w:rsidRDefault="006E62D3" w:rsidP="00357228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 basis van de internationale norm ISO 50001 </w:t>
            </w:r>
            <w:r w:rsidR="001F116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2C6463">
              <w:rPr>
                <w:b/>
                <w:bCs/>
              </w:rPr>
              <w:t>4.4.3</w:t>
            </w:r>
            <w:r w:rsidR="003E3423">
              <w:rPr>
                <w:b/>
                <w:bCs/>
              </w:rPr>
              <w:t>,</w:t>
            </w:r>
            <w:r w:rsidR="002C6463">
              <w:rPr>
                <w:b/>
                <w:bCs/>
              </w:rPr>
              <w:t xml:space="preserve"> 4.4.4</w:t>
            </w:r>
            <w:r w:rsidR="003E3423">
              <w:rPr>
                <w:b/>
                <w:bCs/>
              </w:rPr>
              <w:t>,</w:t>
            </w:r>
            <w:r w:rsidR="002C6463">
              <w:rPr>
                <w:b/>
                <w:bCs/>
              </w:rPr>
              <w:t xml:space="preserve"> 4.4.5</w:t>
            </w:r>
            <w:r w:rsidR="003E3423">
              <w:rPr>
                <w:b/>
                <w:bCs/>
              </w:rPr>
              <w:t>,</w:t>
            </w:r>
            <w:r w:rsidR="002C6463">
              <w:rPr>
                <w:b/>
                <w:bCs/>
              </w:rPr>
              <w:t xml:space="preserve"> </w:t>
            </w:r>
            <w:r w:rsidR="001F1167">
              <w:rPr>
                <w:b/>
                <w:bCs/>
              </w:rPr>
              <w:t>4.4.6</w:t>
            </w:r>
            <w:r w:rsidR="003E3423">
              <w:rPr>
                <w:b/>
                <w:bCs/>
              </w:rPr>
              <w:t>,</w:t>
            </w:r>
            <w:r w:rsidR="002C6463">
              <w:rPr>
                <w:b/>
                <w:bCs/>
              </w:rPr>
              <w:t xml:space="preserve"> 4.6.1 </w:t>
            </w:r>
            <w:r w:rsidR="00357228">
              <w:rPr>
                <w:b/>
                <w:bCs/>
              </w:rPr>
              <w:t>en</w:t>
            </w:r>
            <w:r w:rsidR="003E3423">
              <w:rPr>
                <w:b/>
                <w:bCs/>
              </w:rPr>
              <w:t xml:space="preserve"> </w:t>
            </w:r>
            <w:r w:rsidR="002C6463">
              <w:rPr>
                <w:b/>
                <w:bCs/>
              </w:rPr>
              <w:t>4.6.4</w:t>
            </w:r>
          </w:p>
        </w:tc>
      </w:tr>
      <w:tr w:rsidR="002A2A32" w14:paraId="70DC9363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4B9010AD" w14:textId="77777777" w:rsidR="002A2A32" w:rsidRDefault="002A2A32">
            <w:pPr>
              <w:pStyle w:val="Geenafstand"/>
              <w:jc w:val="center"/>
              <w:rPr>
                <w:b/>
                <w:bCs/>
              </w:rPr>
            </w:pPr>
          </w:p>
        </w:tc>
      </w:tr>
    </w:tbl>
    <w:p w14:paraId="590F354C" w14:textId="77777777" w:rsidR="002A2A32" w:rsidRPr="006B521A" w:rsidRDefault="00E5141A" w:rsidP="009846C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Biesot B.V.</w:t>
      </w:r>
    </w:p>
    <w:p w14:paraId="377C9A06" w14:textId="77777777" w:rsidR="002A2A32" w:rsidRDefault="002A2A32">
      <w:pPr>
        <w:rPr>
          <w:b/>
        </w:rPr>
      </w:pPr>
    </w:p>
    <w:p w14:paraId="422DA3DC" w14:textId="77777777" w:rsidR="002A2A32" w:rsidRDefault="002A2A32">
      <w:pPr>
        <w:rPr>
          <w:b/>
        </w:rPr>
      </w:pPr>
    </w:p>
    <w:p w14:paraId="6BF3F3EE" w14:textId="77777777" w:rsidR="002A2A32" w:rsidRDefault="002A2A32">
      <w:pPr>
        <w:rPr>
          <w:b/>
        </w:rPr>
      </w:pPr>
    </w:p>
    <w:p w14:paraId="08E1D678" w14:textId="77777777" w:rsidR="002A2A32" w:rsidRDefault="006B07B6">
      <w:pPr>
        <w:rPr>
          <w:b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381E9197" wp14:editId="07C41857">
            <wp:simplePos x="0" y="0"/>
            <wp:positionH relativeFrom="column">
              <wp:posOffset>4059539</wp:posOffset>
            </wp:positionH>
            <wp:positionV relativeFrom="paragraph">
              <wp:posOffset>142835</wp:posOffset>
            </wp:positionV>
            <wp:extent cx="1567815" cy="896620"/>
            <wp:effectExtent l="0" t="0" r="0" b="0"/>
            <wp:wrapNone/>
            <wp:docPr id="3" name="Afbeelding 1" descr="H:\LOGO_SKAO_Prestatieladder_niveau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:\LOGO_SKAO_Prestatieladder_niveau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ED6760" w14:textId="77777777" w:rsidR="002A2A32" w:rsidRDefault="002A2A32">
      <w:pPr>
        <w:rPr>
          <w:b/>
        </w:rPr>
      </w:pPr>
    </w:p>
    <w:p w14:paraId="60A3A70A" w14:textId="77777777" w:rsidR="002A2A32" w:rsidRDefault="002A2A32">
      <w:pPr>
        <w:rPr>
          <w:b/>
        </w:rPr>
      </w:pPr>
    </w:p>
    <w:p w14:paraId="014C0A52" w14:textId="77777777" w:rsidR="002E6656" w:rsidRDefault="002E6656" w:rsidP="006367F0">
      <w:pPr>
        <w:rPr>
          <w:rFonts w:cs="Arial"/>
          <w:b/>
          <w:szCs w:val="22"/>
        </w:rPr>
      </w:pPr>
    </w:p>
    <w:p w14:paraId="5D349D8A" w14:textId="77777777" w:rsidR="002E6656" w:rsidRDefault="002E6656" w:rsidP="006367F0">
      <w:pPr>
        <w:rPr>
          <w:rFonts w:cs="Arial"/>
          <w:b/>
          <w:szCs w:val="22"/>
        </w:rPr>
      </w:pPr>
    </w:p>
    <w:p w14:paraId="468CA85A" w14:textId="77777777" w:rsidR="002E6656" w:rsidRDefault="002E6656" w:rsidP="006367F0">
      <w:pPr>
        <w:rPr>
          <w:rFonts w:cs="Arial"/>
          <w:b/>
          <w:szCs w:val="22"/>
        </w:rPr>
      </w:pPr>
    </w:p>
    <w:p w14:paraId="1D23553F" w14:textId="77777777" w:rsidR="002E6656" w:rsidRDefault="002E6656" w:rsidP="006367F0">
      <w:pPr>
        <w:rPr>
          <w:rFonts w:cs="Arial"/>
          <w:b/>
          <w:szCs w:val="22"/>
        </w:rPr>
      </w:pPr>
    </w:p>
    <w:p w14:paraId="6F8A0F7A" w14:textId="77777777" w:rsidR="002E6656" w:rsidRDefault="002E6656" w:rsidP="006367F0">
      <w:pPr>
        <w:rPr>
          <w:rFonts w:cs="Arial"/>
          <w:b/>
          <w:szCs w:val="22"/>
        </w:rPr>
      </w:pPr>
    </w:p>
    <w:p w14:paraId="1E80A100" w14:textId="77777777" w:rsidR="006367F0" w:rsidRPr="009B591A" w:rsidRDefault="006367F0" w:rsidP="006367F0">
      <w:pPr>
        <w:rPr>
          <w:rFonts w:cs="Arial"/>
          <w:b/>
          <w:sz w:val="22"/>
          <w:szCs w:val="22"/>
        </w:rPr>
      </w:pPr>
      <w:r w:rsidRPr="009B591A">
        <w:rPr>
          <w:rFonts w:cs="Arial"/>
          <w:b/>
          <w:sz w:val="22"/>
          <w:szCs w:val="22"/>
        </w:rPr>
        <w:t>Auteur(s):</w:t>
      </w:r>
    </w:p>
    <w:p w14:paraId="47AD4335" w14:textId="77777777" w:rsidR="006B521A" w:rsidRDefault="00FF488C" w:rsidP="006B521A">
      <w:r>
        <w:t>Mevrouw J.B.</w:t>
      </w:r>
      <w:r w:rsidR="00E5141A">
        <w:t xml:space="preserve"> Biesot, CO</w:t>
      </w:r>
      <w:r w:rsidR="00E5141A" w:rsidRPr="002A2A32">
        <w:rPr>
          <w:vertAlign w:val="subscript"/>
        </w:rPr>
        <w:t>2</w:t>
      </w:r>
      <w:r w:rsidR="00E5141A">
        <w:t>-functionaris, Biesot B.V.</w:t>
      </w:r>
    </w:p>
    <w:p w14:paraId="5CF829A9" w14:textId="77777777" w:rsidR="007A55D1" w:rsidRDefault="007A55D1" w:rsidP="007A55D1"/>
    <w:p w14:paraId="37631754" w14:textId="77777777" w:rsidR="00EE303A" w:rsidRDefault="00EE303A" w:rsidP="007A55D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</w:tblGrid>
      <w:tr w:rsidR="006367F0" w:rsidRPr="005A1A96" w14:paraId="0914C4A4" w14:textId="77777777" w:rsidTr="00F50B6F">
        <w:tc>
          <w:tcPr>
            <w:tcW w:w="1101" w:type="dxa"/>
          </w:tcPr>
          <w:p w14:paraId="6F82D0AC" w14:textId="77777777" w:rsidR="006367F0" w:rsidRPr="005A1A96" w:rsidRDefault="006367F0" w:rsidP="00F50B6F">
            <w:pPr>
              <w:rPr>
                <w:sz w:val="18"/>
                <w:szCs w:val="18"/>
              </w:rPr>
            </w:pPr>
            <w:proofErr w:type="spellStart"/>
            <w:r w:rsidRPr="005A1A96">
              <w:rPr>
                <w:sz w:val="18"/>
                <w:szCs w:val="18"/>
              </w:rPr>
              <w:t>Doc.code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14:paraId="088C4A8D" w14:textId="77777777" w:rsidR="006367F0" w:rsidRPr="005A1A96" w:rsidRDefault="006367F0" w:rsidP="006367F0">
            <w:pPr>
              <w:rPr>
                <w:sz w:val="18"/>
                <w:szCs w:val="18"/>
              </w:rPr>
            </w:pPr>
            <w:proofErr w:type="spellStart"/>
            <w:r w:rsidRPr="005A1A96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nM</w:t>
            </w:r>
            <w:r w:rsidR="00017E6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</w:t>
            </w:r>
            <w:proofErr w:type="spellEnd"/>
          </w:p>
        </w:tc>
      </w:tr>
      <w:tr w:rsidR="006367F0" w:rsidRPr="005A1A96" w14:paraId="114BEAE4" w14:textId="77777777" w:rsidTr="00F50B6F">
        <w:tc>
          <w:tcPr>
            <w:tcW w:w="1101" w:type="dxa"/>
          </w:tcPr>
          <w:p w14:paraId="7CC86AA4" w14:textId="77777777" w:rsidR="006367F0" w:rsidRPr="005A1A96" w:rsidRDefault="006367F0" w:rsidP="00F50B6F">
            <w:pPr>
              <w:rPr>
                <w:sz w:val="18"/>
                <w:szCs w:val="18"/>
              </w:rPr>
            </w:pPr>
            <w:r w:rsidRPr="005A1A96">
              <w:rPr>
                <w:sz w:val="18"/>
                <w:szCs w:val="18"/>
              </w:rPr>
              <w:t>Versie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14:paraId="2FB01615" w14:textId="77777777" w:rsidR="006367F0" w:rsidRPr="005A1A96" w:rsidRDefault="006367F0" w:rsidP="00F464D0">
            <w:pPr>
              <w:rPr>
                <w:sz w:val="18"/>
                <w:szCs w:val="18"/>
              </w:rPr>
            </w:pPr>
            <w:r w:rsidRPr="005A1A96">
              <w:rPr>
                <w:sz w:val="18"/>
                <w:szCs w:val="18"/>
              </w:rPr>
              <w:t>1</w:t>
            </w:r>
            <w:r w:rsidR="006B521A">
              <w:rPr>
                <w:sz w:val="18"/>
                <w:szCs w:val="18"/>
              </w:rPr>
              <w:t>.</w:t>
            </w:r>
            <w:r w:rsidR="00F464D0">
              <w:rPr>
                <w:sz w:val="18"/>
                <w:szCs w:val="18"/>
              </w:rPr>
              <w:t>1</w:t>
            </w:r>
          </w:p>
        </w:tc>
      </w:tr>
      <w:tr w:rsidR="006367F0" w:rsidRPr="005A1A96" w14:paraId="62A93CA8" w14:textId="77777777" w:rsidTr="00F50B6F">
        <w:tc>
          <w:tcPr>
            <w:tcW w:w="1101" w:type="dxa"/>
          </w:tcPr>
          <w:p w14:paraId="287ED657" w14:textId="77777777" w:rsidR="006367F0" w:rsidRPr="005A1A96" w:rsidRDefault="006367F0" w:rsidP="00F50B6F">
            <w:pPr>
              <w:rPr>
                <w:sz w:val="18"/>
                <w:szCs w:val="18"/>
              </w:rPr>
            </w:pPr>
            <w:r w:rsidRPr="005A1A96">
              <w:rPr>
                <w:sz w:val="18"/>
                <w:szCs w:val="18"/>
              </w:rPr>
              <w:t>Datum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14:paraId="24F19336" w14:textId="77777777" w:rsidR="006367F0" w:rsidRPr="005A1A96" w:rsidRDefault="00FF488C" w:rsidP="00F4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5141A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9</w:t>
            </w:r>
            <w:r w:rsidR="00E5141A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6367F0" w:rsidRPr="005A1A96" w14:paraId="2D6E22A9" w14:textId="77777777" w:rsidTr="00F50B6F">
        <w:tc>
          <w:tcPr>
            <w:tcW w:w="1101" w:type="dxa"/>
          </w:tcPr>
          <w:p w14:paraId="1188E229" w14:textId="77777777" w:rsidR="006367F0" w:rsidRPr="005A1A96" w:rsidRDefault="006367F0" w:rsidP="00F50B6F">
            <w:pPr>
              <w:rPr>
                <w:sz w:val="18"/>
                <w:szCs w:val="18"/>
              </w:rPr>
            </w:pPr>
            <w:r w:rsidRPr="005A1A96">
              <w:rPr>
                <w:sz w:val="18"/>
                <w:szCs w:val="18"/>
              </w:rPr>
              <w:t>Status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14:paraId="4B58EC4D" w14:textId="77777777" w:rsidR="006367F0" w:rsidRPr="00E5141A" w:rsidRDefault="00E5141A" w:rsidP="00DA48F9">
            <w:pPr>
              <w:rPr>
                <w:sz w:val="18"/>
                <w:szCs w:val="18"/>
              </w:rPr>
            </w:pPr>
            <w:r w:rsidRPr="00E5141A">
              <w:rPr>
                <w:sz w:val="18"/>
                <w:szCs w:val="18"/>
              </w:rPr>
              <w:t>Definitief</w:t>
            </w:r>
          </w:p>
        </w:tc>
      </w:tr>
    </w:tbl>
    <w:p w14:paraId="75347B51" w14:textId="77777777" w:rsidR="002A2A32" w:rsidRDefault="002A2A32"/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  <w:lang w:eastAsia="nl-NL"/>
        </w:rPr>
        <w:id w:val="10678643"/>
        <w:docPartObj>
          <w:docPartGallery w:val="Table of Contents"/>
          <w:docPartUnique/>
        </w:docPartObj>
      </w:sdtPr>
      <w:sdtEndPr/>
      <w:sdtContent>
        <w:p w14:paraId="796BCF07" w14:textId="77777777" w:rsidR="002A2A32" w:rsidRDefault="002A2A32">
          <w:pPr>
            <w:pStyle w:val="Kopvaninhoudsopgave"/>
          </w:pPr>
          <w:r w:rsidRPr="00EF78CD">
            <w:rPr>
              <w:color w:val="auto"/>
              <w:sz w:val="36"/>
            </w:rPr>
            <w:t>Inhoudsopgave</w:t>
          </w:r>
        </w:p>
        <w:p w14:paraId="37F24272" w14:textId="77777777" w:rsidR="009B591A" w:rsidRPr="009B591A" w:rsidRDefault="009B591A" w:rsidP="009B591A">
          <w:pPr>
            <w:rPr>
              <w:lang w:eastAsia="en-US"/>
            </w:rPr>
          </w:pPr>
        </w:p>
        <w:p w14:paraId="63EBCF7A" w14:textId="77777777" w:rsidR="00302C1C" w:rsidRDefault="003637D6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2A2A32">
            <w:instrText xml:space="preserve"> TOC \o "1-3" \h \z \u </w:instrText>
          </w:r>
          <w:r>
            <w:fldChar w:fldCharType="separate"/>
          </w:r>
          <w:hyperlink w:anchor="_Toc485194644" w:history="1">
            <w:r w:rsidR="00302C1C" w:rsidRPr="00F77009">
              <w:rPr>
                <w:rStyle w:val="Hyperlink"/>
                <w:noProof/>
              </w:rPr>
              <w:t>1.</w:t>
            </w:r>
            <w:r w:rsidR="00302C1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2C1C" w:rsidRPr="00F77009">
              <w:rPr>
                <w:rStyle w:val="Hyperlink"/>
                <w:noProof/>
              </w:rPr>
              <w:t>Inleiding</w:t>
            </w:r>
            <w:r w:rsidR="00302C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C1C">
              <w:rPr>
                <w:noProof/>
                <w:webHidden/>
              </w:rPr>
              <w:instrText xml:space="preserve"> PAGEREF _Toc485194644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4B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360C5" w14:textId="77777777" w:rsidR="00302C1C" w:rsidRDefault="008C14BF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194645" w:history="1">
            <w:r w:rsidR="00302C1C" w:rsidRPr="00F77009">
              <w:rPr>
                <w:rStyle w:val="Hyperlink"/>
                <w:noProof/>
              </w:rPr>
              <w:t>2.</w:t>
            </w:r>
            <w:r w:rsidR="00302C1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2C1C" w:rsidRPr="00F77009">
              <w:rPr>
                <w:rStyle w:val="Hyperlink"/>
                <w:noProof/>
              </w:rPr>
              <w:t>Normatieve verwijzingen</w:t>
            </w:r>
            <w:r w:rsidR="00302C1C">
              <w:rPr>
                <w:noProof/>
                <w:webHidden/>
              </w:rPr>
              <w:tab/>
            </w:r>
            <w:r w:rsidR="003637D6">
              <w:rPr>
                <w:noProof/>
                <w:webHidden/>
              </w:rPr>
              <w:fldChar w:fldCharType="begin"/>
            </w:r>
            <w:r w:rsidR="00302C1C">
              <w:rPr>
                <w:noProof/>
                <w:webHidden/>
              </w:rPr>
              <w:instrText xml:space="preserve"> PAGEREF _Toc485194645 \h </w:instrText>
            </w:r>
            <w:r w:rsidR="003637D6">
              <w:rPr>
                <w:noProof/>
                <w:webHidden/>
              </w:rPr>
            </w:r>
            <w:r w:rsidR="00363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637D6">
              <w:rPr>
                <w:noProof/>
                <w:webHidden/>
              </w:rPr>
              <w:fldChar w:fldCharType="end"/>
            </w:r>
          </w:hyperlink>
        </w:p>
        <w:p w14:paraId="13246386" w14:textId="77777777" w:rsidR="00302C1C" w:rsidRDefault="008C14BF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194646" w:history="1">
            <w:r w:rsidR="00302C1C" w:rsidRPr="00F77009">
              <w:rPr>
                <w:rStyle w:val="Hyperlink"/>
                <w:noProof/>
              </w:rPr>
              <w:t>3.</w:t>
            </w:r>
            <w:r w:rsidR="00302C1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2C1C" w:rsidRPr="00F77009">
              <w:rPr>
                <w:rStyle w:val="Hyperlink"/>
                <w:noProof/>
              </w:rPr>
              <w:t>Reductiedoelstellingen ten opzichte van het basisjaar</w:t>
            </w:r>
            <w:r w:rsidR="00302C1C">
              <w:rPr>
                <w:noProof/>
                <w:webHidden/>
              </w:rPr>
              <w:tab/>
            </w:r>
            <w:r w:rsidR="003637D6">
              <w:rPr>
                <w:noProof/>
                <w:webHidden/>
              </w:rPr>
              <w:fldChar w:fldCharType="begin"/>
            </w:r>
            <w:r w:rsidR="00302C1C">
              <w:rPr>
                <w:noProof/>
                <w:webHidden/>
              </w:rPr>
              <w:instrText xml:space="preserve"> PAGEREF _Toc485194646 \h </w:instrText>
            </w:r>
            <w:r w:rsidR="003637D6">
              <w:rPr>
                <w:noProof/>
                <w:webHidden/>
              </w:rPr>
            </w:r>
            <w:r w:rsidR="00363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637D6">
              <w:rPr>
                <w:noProof/>
                <w:webHidden/>
              </w:rPr>
              <w:fldChar w:fldCharType="end"/>
            </w:r>
          </w:hyperlink>
        </w:p>
        <w:p w14:paraId="760ACC1D" w14:textId="77777777" w:rsidR="00302C1C" w:rsidRDefault="008C14BF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194647" w:history="1">
            <w:r w:rsidR="00302C1C" w:rsidRPr="00F77009">
              <w:rPr>
                <w:rStyle w:val="Hyperlink"/>
                <w:noProof/>
              </w:rPr>
              <w:t>3.1</w:t>
            </w:r>
            <w:r w:rsidR="00302C1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2C1C" w:rsidRPr="00F77009">
              <w:rPr>
                <w:rStyle w:val="Hyperlink"/>
                <w:noProof/>
              </w:rPr>
              <w:t>Algemeen</w:t>
            </w:r>
            <w:r w:rsidR="00302C1C">
              <w:rPr>
                <w:noProof/>
                <w:webHidden/>
              </w:rPr>
              <w:tab/>
            </w:r>
            <w:r w:rsidR="003637D6">
              <w:rPr>
                <w:noProof/>
                <w:webHidden/>
              </w:rPr>
              <w:fldChar w:fldCharType="begin"/>
            </w:r>
            <w:r w:rsidR="00302C1C">
              <w:rPr>
                <w:noProof/>
                <w:webHidden/>
              </w:rPr>
              <w:instrText xml:space="preserve"> PAGEREF _Toc485194647 \h </w:instrText>
            </w:r>
            <w:r w:rsidR="003637D6">
              <w:rPr>
                <w:noProof/>
                <w:webHidden/>
              </w:rPr>
            </w:r>
            <w:r w:rsidR="00363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637D6">
              <w:rPr>
                <w:noProof/>
                <w:webHidden/>
              </w:rPr>
              <w:fldChar w:fldCharType="end"/>
            </w:r>
          </w:hyperlink>
        </w:p>
        <w:p w14:paraId="17457CD5" w14:textId="77777777" w:rsidR="00302C1C" w:rsidRDefault="008C14BF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194648" w:history="1">
            <w:r w:rsidR="00302C1C" w:rsidRPr="00F77009">
              <w:rPr>
                <w:rStyle w:val="Hyperlink"/>
                <w:noProof/>
              </w:rPr>
              <w:t>3.2</w:t>
            </w:r>
            <w:r w:rsidR="00302C1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2C1C" w:rsidRPr="00F77009">
              <w:rPr>
                <w:rStyle w:val="Hyperlink"/>
                <w:noProof/>
              </w:rPr>
              <w:t>Reductiedoelstelling per jaar per scope</w:t>
            </w:r>
            <w:r w:rsidR="00302C1C">
              <w:rPr>
                <w:noProof/>
                <w:webHidden/>
              </w:rPr>
              <w:tab/>
            </w:r>
            <w:r w:rsidR="003637D6">
              <w:rPr>
                <w:noProof/>
                <w:webHidden/>
              </w:rPr>
              <w:fldChar w:fldCharType="begin"/>
            </w:r>
            <w:r w:rsidR="00302C1C">
              <w:rPr>
                <w:noProof/>
                <w:webHidden/>
              </w:rPr>
              <w:instrText xml:space="preserve"> PAGEREF _Toc485194648 \h </w:instrText>
            </w:r>
            <w:r w:rsidR="003637D6">
              <w:rPr>
                <w:noProof/>
                <w:webHidden/>
              </w:rPr>
            </w:r>
            <w:r w:rsidR="00363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637D6">
              <w:rPr>
                <w:noProof/>
                <w:webHidden/>
              </w:rPr>
              <w:fldChar w:fldCharType="end"/>
            </w:r>
          </w:hyperlink>
        </w:p>
        <w:p w14:paraId="5FD2BA70" w14:textId="77777777" w:rsidR="00302C1C" w:rsidRDefault="008C14BF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194649" w:history="1">
            <w:r w:rsidR="00302C1C" w:rsidRPr="00F77009">
              <w:rPr>
                <w:rStyle w:val="Hyperlink"/>
                <w:noProof/>
              </w:rPr>
              <w:t>4.</w:t>
            </w:r>
            <w:r w:rsidR="00302C1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2C1C" w:rsidRPr="00F77009">
              <w:rPr>
                <w:rStyle w:val="Hyperlink"/>
                <w:noProof/>
              </w:rPr>
              <w:t>Plan van Aanpak</w:t>
            </w:r>
            <w:r w:rsidR="00302C1C">
              <w:rPr>
                <w:noProof/>
                <w:webHidden/>
              </w:rPr>
              <w:tab/>
            </w:r>
            <w:r w:rsidR="003637D6">
              <w:rPr>
                <w:noProof/>
                <w:webHidden/>
              </w:rPr>
              <w:fldChar w:fldCharType="begin"/>
            </w:r>
            <w:r w:rsidR="00302C1C">
              <w:rPr>
                <w:noProof/>
                <w:webHidden/>
              </w:rPr>
              <w:instrText xml:space="preserve"> PAGEREF _Toc485194649 \h </w:instrText>
            </w:r>
            <w:r w:rsidR="003637D6">
              <w:rPr>
                <w:noProof/>
                <w:webHidden/>
              </w:rPr>
            </w:r>
            <w:r w:rsidR="00363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637D6">
              <w:rPr>
                <w:noProof/>
                <w:webHidden/>
              </w:rPr>
              <w:fldChar w:fldCharType="end"/>
            </w:r>
          </w:hyperlink>
        </w:p>
        <w:p w14:paraId="32474A55" w14:textId="77777777" w:rsidR="00302C1C" w:rsidRDefault="008C14BF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194650" w:history="1">
            <w:r w:rsidR="00302C1C" w:rsidRPr="00F77009">
              <w:rPr>
                <w:rStyle w:val="Hyperlink"/>
                <w:noProof/>
              </w:rPr>
              <w:t>4.1</w:t>
            </w:r>
            <w:r w:rsidR="00302C1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2C1C" w:rsidRPr="00F77009">
              <w:rPr>
                <w:rStyle w:val="Hyperlink"/>
                <w:noProof/>
              </w:rPr>
              <w:t>Maatregelen scope 1</w:t>
            </w:r>
            <w:r w:rsidR="00302C1C">
              <w:rPr>
                <w:noProof/>
                <w:webHidden/>
              </w:rPr>
              <w:tab/>
            </w:r>
            <w:r w:rsidR="003637D6">
              <w:rPr>
                <w:noProof/>
                <w:webHidden/>
              </w:rPr>
              <w:fldChar w:fldCharType="begin"/>
            </w:r>
            <w:r w:rsidR="00302C1C">
              <w:rPr>
                <w:noProof/>
                <w:webHidden/>
              </w:rPr>
              <w:instrText xml:space="preserve"> PAGEREF _Toc485194650 \h </w:instrText>
            </w:r>
            <w:r w:rsidR="003637D6">
              <w:rPr>
                <w:noProof/>
                <w:webHidden/>
              </w:rPr>
            </w:r>
            <w:r w:rsidR="00363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637D6">
              <w:rPr>
                <w:noProof/>
                <w:webHidden/>
              </w:rPr>
              <w:fldChar w:fldCharType="end"/>
            </w:r>
          </w:hyperlink>
        </w:p>
        <w:p w14:paraId="73FB6B14" w14:textId="77777777" w:rsidR="00302C1C" w:rsidRDefault="008C14BF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194651" w:history="1">
            <w:r w:rsidR="00302C1C" w:rsidRPr="00F77009">
              <w:rPr>
                <w:rStyle w:val="Hyperlink"/>
                <w:noProof/>
              </w:rPr>
              <w:t>4.2</w:t>
            </w:r>
            <w:r w:rsidR="00302C1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2C1C" w:rsidRPr="00F77009">
              <w:rPr>
                <w:rStyle w:val="Hyperlink"/>
                <w:noProof/>
              </w:rPr>
              <w:t>Maatregelen scope 2</w:t>
            </w:r>
            <w:r w:rsidR="00302C1C">
              <w:rPr>
                <w:noProof/>
                <w:webHidden/>
              </w:rPr>
              <w:tab/>
            </w:r>
            <w:r w:rsidR="003637D6">
              <w:rPr>
                <w:noProof/>
                <w:webHidden/>
              </w:rPr>
              <w:fldChar w:fldCharType="begin"/>
            </w:r>
            <w:r w:rsidR="00302C1C">
              <w:rPr>
                <w:noProof/>
                <w:webHidden/>
              </w:rPr>
              <w:instrText xml:space="preserve"> PAGEREF _Toc485194651 \h </w:instrText>
            </w:r>
            <w:r w:rsidR="003637D6">
              <w:rPr>
                <w:noProof/>
                <w:webHidden/>
              </w:rPr>
            </w:r>
            <w:r w:rsidR="00363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637D6">
              <w:rPr>
                <w:noProof/>
                <w:webHidden/>
              </w:rPr>
              <w:fldChar w:fldCharType="end"/>
            </w:r>
          </w:hyperlink>
        </w:p>
        <w:p w14:paraId="0F47D40E" w14:textId="77777777" w:rsidR="00302C1C" w:rsidRDefault="008C14BF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194652" w:history="1">
            <w:r w:rsidR="00302C1C" w:rsidRPr="00F77009">
              <w:rPr>
                <w:rStyle w:val="Hyperlink"/>
                <w:noProof/>
              </w:rPr>
              <w:t>4.3</w:t>
            </w:r>
            <w:r w:rsidR="00302C1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2C1C" w:rsidRPr="00F77009">
              <w:rPr>
                <w:rStyle w:val="Hyperlink"/>
                <w:noProof/>
              </w:rPr>
              <w:t>Doelstelling gebruik van alternatieve brandstoffen en/of groene stroom (2.B.2.)</w:t>
            </w:r>
            <w:r w:rsidR="00302C1C">
              <w:rPr>
                <w:noProof/>
                <w:webHidden/>
              </w:rPr>
              <w:tab/>
            </w:r>
            <w:r w:rsidR="003637D6">
              <w:rPr>
                <w:noProof/>
                <w:webHidden/>
              </w:rPr>
              <w:fldChar w:fldCharType="begin"/>
            </w:r>
            <w:r w:rsidR="00302C1C">
              <w:rPr>
                <w:noProof/>
                <w:webHidden/>
              </w:rPr>
              <w:instrText xml:space="preserve"> PAGEREF _Toc485194652 \h </w:instrText>
            </w:r>
            <w:r w:rsidR="003637D6">
              <w:rPr>
                <w:noProof/>
                <w:webHidden/>
              </w:rPr>
            </w:r>
            <w:r w:rsidR="00363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637D6">
              <w:rPr>
                <w:noProof/>
                <w:webHidden/>
              </w:rPr>
              <w:fldChar w:fldCharType="end"/>
            </w:r>
          </w:hyperlink>
        </w:p>
        <w:p w14:paraId="519EE53E" w14:textId="77777777" w:rsidR="00302C1C" w:rsidRDefault="008C14BF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194653" w:history="1">
            <w:r w:rsidR="00302C1C" w:rsidRPr="00F77009">
              <w:rPr>
                <w:rStyle w:val="Hyperlink"/>
                <w:noProof/>
              </w:rPr>
              <w:t>5.</w:t>
            </w:r>
            <w:r w:rsidR="00302C1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2C1C" w:rsidRPr="00F77009">
              <w:rPr>
                <w:rStyle w:val="Hyperlink"/>
                <w:noProof/>
              </w:rPr>
              <w:t>Monitoring en meting</w:t>
            </w:r>
            <w:r w:rsidR="00302C1C">
              <w:rPr>
                <w:noProof/>
                <w:webHidden/>
              </w:rPr>
              <w:tab/>
            </w:r>
            <w:r w:rsidR="003637D6">
              <w:rPr>
                <w:noProof/>
                <w:webHidden/>
              </w:rPr>
              <w:fldChar w:fldCharType="begin"/>
            </w:r>
            <w:r w:rsidR="00302C1C">
              <w:rPr>
                <w:noProof/>
                <w:webHidden/>
              </w:rPr>
              <w:instrText xml:space="preserve"> PAGEREF _Toc485194653 \h </w:instrText>
            </w:r>
            <w:r w:rsidR="003637D6">
              <w:rPr>
                <w:noProof/>
                <w:webHidden/>
              </w:rPr>
            </w:r>
            <w:r w:rsidR="00363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637D6">
              <w:rPr>
                <w:noProof/>
                <w:webHidden/>
              </w:rPr>
              <w:fldChar w:fldCharType="end"/>
            </w:r>
          </w:hyperlink>
        </w:p>
        <w:p w14:paraId="57CD524A" w14:textId="77777777" w:rsidR="00302C1C" w:rsidRDefault="008C14BF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194654" w:history="1">
            <w:r w:rsidR="00302C1C" w:rsidRPr="00F77009">
              <w:rPr>
                <w:rStyle w:val="Hyperlink"/>
                <w:noProof/>
              </w:rPr>
              <w:t>5.1</w:t>
            </w:r>
            <w:r w:rsidR="00302C1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2C1C" w:rsidRPr="00F77009">
              <w:rPr>
                <w:rStyle w:val="Hyperlink"/>
                <w:noProof/>
              </w:rPr>
              <w:t>Energie Prestatie-Indicatoren (EnPI)</w:t>
            </w:r>
            <w:r w:rsidR="00302C1C">
              <w:rPr>
                <w:noProof/>
                <w:webHidden/>
              </w:rPr>
              <w:tab/>
            </w:r>
            <w:r w:rsidR="003637D6">
              <w:rPr>
                <w:noProof/>
                <w:webHidden/>
              </w:rPr>
              <w:fldChar w:fldCharType="begin"/>
            </w:r>
            <w:r w:rsidR="00302C1C">
              <w:rPr>
                <w:noProof/>
                <w:webHidden/>
              </w:rPr>
              <w:instrText xml:space="preserve"> PAGEREF _Toc485194654 \h </w:instrText>
            </w:r>
            <w:r w:rsidR="003637D6">
              <w:rPr>
                <w:noProof/>
                <w:webHidden/>
              </w:rPr>
            </w:r>
            <w:r w:rsidR="00363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637D6">
              <w:rPr>
                <w:noProof/>
                <w:webHidden/>
              </w:rPr>
              <w:fldChar w:fldCharType="end"/>
            </w:r>
          </w:hyperlink>
        </w:p>
        <w:p w14:paraId="7ADAC7C2" w14:textId="77777777" w:rsidR="00302C1C" w:rsidRDefault="008C14BF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194655" w:history="1">
            <w:r w:rsidR="00302C1C" w:rsidRPr="00F77009">
              <w:rPr>
                <w:rStyle w:val="Hyperlink"/>
                <w:noProof/>
              </w:rPr>
              <w:t>6.</w:t>
            </w:r>
            <w:r w:rsidR="00302C1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2C1C" w:rsidRPr="00F77009">
              <w:rPr>
                <w:rStyle w:val="Hyperlink"/>
                <w:noProof/>
              </w:rPr>
              <w:t>Periodieke opvolging / voortdurende verbetering</w:t>
            </w:r>
            <w:r w:rsidR="00302C1C">
              <w:rPr>
                <w:noProof/>
                <w:webHidden/>
              </w:rPr>
              <w:tab/>
            </w:r>
            <w:r w:rsidR="003637D6">
              <w:rPr>
                <w:noProof/>
                <w:webHidden/>
              </w:rPr>
              <w:fldChar w:fldCharType="begin"/>
            </w:r>
            <w:r w:rsidR="00302C1C">
              <w:rPr>
                <w:noProof/>
                <w:webHidden/>
              </w:rPr>
              <w:instrText xml:space="preserve"> PAGEREF _Toc485194655 \h </w:instrText>
            </w:r>
            <w:r w:rsidR="003637D6">
              <w:rPr>
                <w:noProof/>
                <w:webHidden/>
              </w:rPr>
            </w:r>
            <w:r w:rsidR="00363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637D6">
              <w:rPr>
                <w:noProof/>
                <w:webHidden/>
              </w:rPr>
              <w:fldChar w:fldCharType="end"/>
            </w:r>
          </w:hyperlink>
        </w:p>
        <w:p w14:paraId="362E4661" w14:textId="77777777" w:rsidR="00302C1C" w:rsidRDefault="008C14BF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194656" w:history="1">
            <w:r w:rsidR="00302C1C" w:rsidRPr="00F77009">
              <w:rPr>
                <w:rStyle w:val="Hyperlink"/>
                <w:noProof/>
              </w:rPr>
              <w:t>7.</w:t>
            </w:r>
            <w:r w:rsidR="00302C1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2C1C" w:rsidRPr="00F77009">
              <w:rPr>
                <w:rStyle w:val="Hyperlink"/>
                <w:noProof/>
              </w:rPr>
              <w:t>Actieplan: verantwoordelijkheden, taakstellingen en budget</w:t>
            </w:r>
            <w:r w:rsidR="00302C1C">
              <w:rPr>
                <w:noProof/>
                <w:webHidden/>
              </w:rPr>
              <w:tab/>
            </w:r>
            <w:r w:rsidR="003637D6">
              <w:rPr>
                <w:noProof/>
                <w:webHidden/>
              </w:rPr>
              <w:fldChar w:fldCharType="begin"/>
            </w:r>
            <w:r w:rsidR="00302C1C">
              <w:rPr>
                <w:noProof/>
                <w:webHidden/>
              </w:rPr>
              <w:instrText xml:space="preserve"> PAGEREF _Toc485194656 \h </w:instrText>
            </w:r>
            <w:r w:rsidR="003637D6">
              <w:rPr>
                <w:noProof/>
                <w:webHidden/>
              </w:rPr>
            </w:r>
            <w:r w:rsidR="00363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637D6">
              <w:rPr>
                <w:noProof/>
                <w:webHidden/>
              </w:rPr>
              <w:fldChar w:fldCharType="end"/>
            </w:r>
          </w:hyperlink>
        </w:p>
        <w:p w14:paraId="284EB61B" w14:textId="77777777" w:rsidR="00302C1C" w:rsidRDefault="008C14BF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194657" w:history="1">
            <w:r w:rsidR="00302C1C" w:rsidRPr="00F77009">
              <w:rPr>
                <w:rStyle w:val="Hyperlink"/>
                <w:noProof/>
              </w:rPr>
              <w:t>7.1</w:t>
            </w:r>
            <w:r w:rsidR="00302C1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2C1C" w:rsidRPr="00F77009">
              <w:rPr>
                <w:rStyle w:val="Hyperlink"/>
                <w:noProof/>
              </w:rPr>
              <w:t>Verantwoordelijkheden</w:t>
            </w:r>
            <w:r w:rsidR="00302C1C">
              <w:rPr>
                <w:noProof/>
                <w:webHidden/>
              </w:rPr>
              <w:tab/>
            </w:r>
            <w:r w:rsidR="003637D6">
              <w:rPr>
                <w:noProof/>
                <w:webHidden/>
              </w:rPr>
              <w:fldChar w:fldCharType="begin"/>
            </w:r>
            <w:r w:rsidR="00302C1C">
              <w:rPr>
                <w:noProof/>
                <w:webHidden/>
              </w:rPr>
              <w:instrText xml:space="preserve"> PAGEREF _Toc485194657 \h </w:instrText>
            </w:r>
            <w:r w:rsidR="003637D6">
              <w:rPr>
                <w:noProof/>
                <w:webHidden/>
              </w:rPr>
            </w:r>
            <w:r w:rsidR="00363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637D6">
              <w:rPr>
                <w:noProof/>
                <w:webHidden/>
              </w:rPr>
              <w:fldChar w:fldCharType="end"/>
            </w:r>
          </w:hyperlink>
        </w:p>
        <w:p w14:paraId="6EACEC7E" w14:textId="77777777" w:rsidR="00302C1C" w:rsidRDefault="008C14BF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194658" w:history="1">
            <w:r w:rsidR="00302C1C" w:rsidRPr="00F77009">
              <w:rPr>
                <w:rStyle w:val="Hyperlink"/>
                <w:noProof/>
              </w:rPr>
              <w:t>7.2</w:t>
            </w:r>
            <w:r w:rsidR="00302C1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02C1C" w:rsidRPr="00F77009">
              <w:rPr>
                <w:rStyle w:val="Hyperlink"/>
                <w:noProof/>
              </w:rPr>
              <w:t>Actieplan</w:t>
            </w:r>
            <w:r w:rsidR="00302C1C">
              <w:rPr>
                <w:noProof/>
                <w:webHidden/>
              </w:rPr>
              <w:tab/>
            </w:r>
            <w:r w:rsidR="003637D6">
              <w:rPr>
                <w:noProof/>
                <w:webHidden/>
              </w:rPr>
              <w:fldChar w:fldCharType="begin"/>
            </w:r>
            <w:r w:rsidR="00302C1C">
              <w:rPr>
                <w:noProof/>
                <w:webHidden/>
              </w:rPr>
              <w:instrText xml:space="preserve"> PAGEREF _Toc485194658 \h </w:instrText>
            </w:r>
            <w:r w:rsidR="003637D6">
              <w:rPr>
                <w:noProof/>
                <w:webHidden/>
              </w:rPr>
            </w:r>
            <w:r w:rsidR="003637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637D6">
              <w:rPr>
                <w:noProof/>
                <w:webHidden/>
              </w:rPr>
              <w:fldChar w:fldCharType="end"/>
            </w:r>
          </w:hyperlink>
        </w:p>
        <w:p w14:paraId="7AF990EF" w14:textId="77777777" w:rsidR="002A2A32" w:rsidRDefault="003637D6">
          <w:r>
            <w:fldChar w:fldCharType="end"/>
          </w:r>
        </w:p>
      </w:sdtContent>
    </w:sdt>
    <w:p w14:paraId="533A2812" w14:textId="77777777" w:rsidR="00693E71" w:rsidRDefault="00693E71"/>
    <w:p w14:paraId="79200F21" w14:textId="77777777" w:rsidR="00693E71" w:rsidRDefault="00693E71"/>
    <w:p w14:paraId="5DF167F6" w14:textId="77777777" w:rsidR="00693E71" w:rsidRDefault="00693E71"/>
    <w:p w14:paraId="112E35B1" w14:textId="77777777" w:rsidR="00693E71" w:rsidRDefault="00693E71"/>
    <w:p w14:paraId="34CE7B4D" w14:textId="77777777" w:rsidR="00693E71" w:rsidRDefault="00693E71"/>
    <w:p w14:paraId="705D150F" w14:textId="77777777" w:rsidR="00693E71" w:rsidRDefault="00693E71"/>
    <w:p w14:paraId="3DFDC35B" w14:textId="77777777" w:rsidR="00693E71" w:rsidRDefault="00693E71"/>
    <w:p w14:paraId="4B3C4AE8" w14:textId="77777777" w:rsidR="00693E71" w:rsidRDefault="00693E71"/>
    <w:p w14:paraId="63127FBE" w14:textId="77777777" w:rsidR="00693E71" w:rsidRDefault="00693E71"/>
    <w:p w14:paraId="57BB9794" w14:textId="77777777" w:rsidR="00693E71" w:rsidRDefault="00693E71"/>
    <w:p w14:paraId="52B2F6C2" w14:textId="77777777" w:rsidR="00693E71" w:rsidRDefault="00693E71"/>
    <w:p w14:paraId="36B16331" w14:textId="77777777" w:rsidR="00693E71" w:rsidRDefault="00693E71"/>
    <w:p w14:paraId="4E372C29" w14:textId="77777777" w:rsidR="00693E71" w:rsidRDefault="00693E71"/>
    <w:p w14:paraId="35A6072C" w14:textId="77777777" w:rsidR="00693E71" w:rsidRDefault="00693E71"/>
    <w:p w14:paraId="3D6DFA80" w14:textId="77777777" w:rsidR="00693E71" w:rsidRDefault="00693E71"/>
    <w:p w14:paraId="3F2FE055" w14:textId="77777777" w:rsidR="00693E71" w:rsidRDefault="00693E71"/>
    <w:p w14:paraId="2ABE02EF" w14:textId="77777777" w:rsidR="00693E71" w:rsidRDefault="00693E71"/>
    <w:p w14:paraId="56834D6F" w14:textId="77777777" w:rsidR="00693E71" w:rsidRDefault="00693E71"/>
    <w:p w14:paraId="063E8786" w14:textId="77777777" w:rsidR="00693E71" w:rsidRDefault="00693E71"/>
    <w:p w14:paraId="27E1DE3F" w14:textId="77777777" w:rsidR="00693E71" w:rsidRDefault="00693E71"/>
    <w:p w14:paraId="1F17E411" w14:textId="77777777" w:rsidR="00693E71" w:rsidRDefault="00693E71"/>
    <w:p w14:paraId="72951718" w14:textId="77777777" w:rsidR="002A2A32" w:rsidRDefault="002A2A32">
      <w:r>
        <w:br w:type="page"/>
      </w:r>
    </w:p>
    <w:p w14:paraId="5CA3F964" w14:textId="77777777" w:rsidR="002A2A32" w:rsidRPr="00EF78CD" w:rsidRDefault="002A2A32" w:rsidP="00EF392A">
      <w:pPr>
        <w:pStyle w:val="Kop1"/>
      </w:pPr>
      <w:bookmarkStart w:id="1" w:name="_Toc485194644"/>
      <w:r w:rsidRPr="00EF78CD">
        <w:lastRenderedPageBreak/>
        <w:t>1.</w:t>
      </w:r>
      <w:r w:rsidR="00BE1EEC" w:rsidRPr="00EF78CD">
        <w:tab/>
      </w:r>
      <w:r w:rsidRPr="00EF78CD">
        <w:t>Inleiding</w:t>
      </w:r>
      <w:bookmarkEnd w:id="1"/>
    </w:p>
    <w:p w14:paraId="19A34CF8" w14:textId="77777777" w:rsidR="00B01E1C" w:rsidRPr="009B591A" w:rsidRDefault="00B01E1C" w:rsidP="00357228">
      <w:pPr>
        <w:rPr>
          <w:sz w:val="22"/>
        </w:rPr>
      </w:pPr>
    </w:p>
    <w:p w14:paraId="28CC7F31" w14:textId="77777777" w:rsidR="00B01E1C" w:rsidRPr="001C30D8" w:rsidRDefault="00B01E1C" w:rsidP="00357228">
      <w:pPr>
        <w:rPr>
          <w:color w:val="FF0000"/>
          <w:sz w:val="22"/>
        </w:rPr>
      </w:pPr>
      <w:r w:rsidRPr="009B591A">
        <w:rPr>
          <w:sz w:val="22"/>
        </w:rPr>
        <w:t xml:space="preserve">In onze </w:t>
      </w:r>
      <w:r w:rsidRPr="0064344F">
        <w:rPr>
          <w:sz w:val="22"/>
        </w:rPr>
        <w:t xml:space="preserve">emissiereductieverklaring van </w:t>
      </w:r>
      <w:r w:rsidR="00E5141A">
        <w:rPr>
          <w:sz w:val="22"/>
        </w:rPr>
        <w:t>1</w:t>
      </w:r>
      <w:r w:rsidR="00257FCB">
        <w:rPr>
          <w:sz w:val="22"/>
        </w:rPr>
        <w:t>1</w:t>
      </w:r>
      <w:r w:rsidR="00E5141A">
        <w:rPr>
          <w:sz w:val="22"/>
        </w:rPr>
        <w:t>-</w:t>
      </w:r>
      <w:r w:rsidR="00257FCB">
        <w:rPr>
          <w:sz w:val="22"/>
        </w:rPr>
        <w:t>1</w:t>
      </w:r>
      <w:r w:rsidR="00E5141A">
        <w:rPr>
          <w:sz w:val="22"/>
        </w:rPr>
        <w:t>0-2017</w:t>
      </w:r>
      <w:r w:rsidRPr="0064344F">
        <w:rPr>
          <w:sz w:val="22"/>
        </w:rPr>
        <w:t xml:space="preserve"> hebben wij de doelstelling uitgesproken om onze CO</w:t>
      </w:r>
      <w:r w:rsidRPr="0064344F">
        <w:rPr>
          <w:sz w:val="22"/>
          <w:vertAlign w:val="subscript"/>
        </w:rPr>
        <w:t>2</w:t>
      </w:r>
      <w:r w:rsidRPr="0064344F">
        <w:rPr>
          <w:sz w:val="22"/>
        </w:rPr>
        <w:t>-uitstoot te reduceren met</w:t>
      </w:r>
      <w:r w:rsidR="0064344F" w:rsidRPr="0064344F">
        <w:rPr>
          <w:sz w:val="22"/>
        </w:rPr>
        <w:t xml:space="preserve"> </w:t>
      </w:r>
      <w:r w:rsidR="00257FCB">
        <w:rPr>
          <w:sz w:val="22"/>
        </w:rPr>
        <w:t xml:space="preserve">6 </w:t>
      </w:r>
      <w:r w:rsidRPr="0064344F">
        <w:rPr>
          <w:sz w:val="22"/>
        </w:rPr>
        <w:t xml:space="preserve">% per </w:t>
      </w:r>
      <w:r w:rsidR="0024640D">
        <w:rPr>
          <w:sz w:val="22"/>
        </w:rPr>
        <w:t xml:space="preserve">5 </w:t>
      </w:r>
      <w:r w:rsidRPr="0064344F">
        <w:rPr>
          <w:sz w:val="22"/>
        </w:rPr>
        <w:t xml:space="preserve">jaar ten opzichte van de genormaliseerde </w:t>
      </w:r>
      <w:r w:rsidRPr="00E5141A">
        <w:rPr>
          <w:sz w:val="22"/>
        </w:rPr>
        <w:t>CO</w:t>
      </w:r>
      <w:r w:rsidRPr="00E5141A">
        <w:rPr>
          <w:sz w:val="22"/>
          <w:vertAlign w:val="subscript"/>
        </w:rPr>
        <w:t>2</w:t>
      </w:r>
      <w:r w:rsidRPr="00E5141A">
        <w:rPr>
          <w:sz w:val="22"/>
        </w:rPr>
        <w:t>-uitstoot in het basisjaar</w:t>
      </w:r>
      <w:r w:rsidR="0064344F" w:rsidRPr="00E5141A">
        <w:rPr>
          <w:sz w:val="22"/>
        </w:rPr>
        <w:t xml:space="preserve"> 201</w:t>
      </w:r>
      <w:r w:rsidR="00EE303A" w:rsidRPr="00E5141A">
        <w:rPr>
          <w:sz w:val="22"/>
        </w:rPr>
        <w:t>6</w:t>
      </w:r>
      <w:r w:rsidRPr="00E5141A">
        <w:rPr>
          <w:sz w:val="22"/>
        </w:rPr>
        <w:t xml:space="preserve"> op basis van </w:t>
      </w:r>
      <w:r w:rsidR="00056272" w:rsidRPr="00E5141A">
        <w:rPr>
          <w:sz w:val="22"/>
        </w:rPr>
        <w:t xml:space="preserve">het </w:t>
      </w:r>
      <w:r w:rsidR="00E5141A" w:rsidRPr="00E5141A">
        <w:rPr>
          <w:sz w:val="22"/>
        </w:rPr>
        <w:t>omzet</w:t>
      </w:r>
      <w:r w:rsidR="001C30D8" w:rsidRPr="00E5141A">
        <w:rPr>
          <w:sz w:val="22"/>
        </w:rPr>
        <w:t>percentage.</w:t>
      </w:r>
      <w:r w:rsidR="00257FCB">
        <w:rPr>
          <w:sz w:val="22"/>
        </w:rPr>
        <w:t xml:space="preserve"> </w:t>
      </w:r>
    </w:p>
    <w:p w14:paraId="48383E03" w14:textId="77777777" w:rsidR="00357228" w:rsidRPr="0064344F" w:rsidRDefault="00357228" w:rsidP="00357228">
      <w:pPr>
        <w:rPr>
          <w:sz w:val="22"/>
        </w:rPr>
      </w:pPr>
    </w:p>
    <w:p w14:paraId="30AFD04F" w14:textId="77777777" w:rsidR="00056272" w:rsidRPr="009B591A" w:rsidRDefault="00056272" w:rsidP="00056272">
      <w:pPr>
        <w:rPr>
          <w:sz w:val="22"/>
        </w:rPr>
      </w:pPr>
      <w:r w:rsidRPr="009B591A">
        <w:rPr>
          <w:sz w:val="22"/>
        </w:rPr>
        <w:t xml:space="preserve">Om die doelstelling te bereiken hebben wij onderzoek gedaan naar de verschillende reductiemogelijkheden. Hiervoor hebben wij onze eigen medewerkers </w:t>
      </w:r>
      <w:r w:rsidR="00F92B43" w:rsidRPr="009B591A">
        <w:rPr>
          <w:sz w:val="22"/>
        </w:rPr>
        <w:t>om</w:t>
      </w:r>
      <w:r w:rsidRPr="009B591A">
        <w:rPr>
          <w:sz w:val="22"/>
        </w:rPr>
        <w:t xml:space="preserve"> advies gevraagd en hebben wij gebruik gemaakt van de besparingsmaatregelen</w:t>
      </w:r>
      <w:r w:rsidR="00257FCB">
        <w:rPr>
          <w:sz w:val="22"/>
        </w:rPr>
        <w:t xml:space="preserve">, </w:t>
      </w:r>
      <w:r w:rsidRPr="009B591A">
        <w:rPr>
          <w:sz w:val="22"/>
        </w:rPr>
        <w:t xml:space="preserve">die andere </w:t>
      </w:r>
      <w:r w:rsidR="00257FCB">
        <w:rPr>
          <w:sz w:val="22"/>
        </w:rPr>
        <w:t xml:space="preserve">vergelijkbare </w:t>
      </w:r>
      <w:r w:rsidRPr="009B591A">
        <w:rPr>
          <w:sz w:val="22"/>
        </w:rPr>
        <w:t xml:space="preserve">bedrijven in de sector hebben genomen. </w:t>
      </w:r>
    </w:p>
    <w:p w14:paraId="63D72AA8" w14:textId="77777777" w:rsidR="00056272" w:rsidRPr="009B591A" w:rsidRDefault="00056272" w:rsidP="00357228">
      <w:pPr>
        <w:rPr>
          <w:sz w:val="22"/>
        </w:rPr>
      </w:pPr>
    </w:p>
    <w:p w14:paraId="508C6591" w14:textId="77777777" w:rsidR="00357228" w:rsidRPr="009B591A" w:rsidRDefault="00357228" w:rsidP="00357228">
      <w:pPr>
        <w:rPr>
          <w:sz w:val="22"/>
        </w:rPr>
      </w:pPr>
      <w:r w:rsidRPr="009B591A">
        <w:rPr>
          <w:sz w:val="22"/>
        </w:rPr>
        <w:t>De geselecteerde maatregelen zijn samen met de doelstellingen vastgelegd i</w:t>
      </w:r>
      <w:r w:rsidRPr="0064344F">
        <w:rPr>
          <w:sz w:val="22"/>
        </w:rPr>
        <w:t>n dit Energie Management Actieplan</w:t>
      </w:r>
      <w:r w:rsidR="009B591A" w:rsidRPr="0064344F">
        <w:rPr>
          <w:sz w:val="22"/>
        </w:rPr>
        <w:t xml:space="preserve"> (</w:t>
      </w:r>
      <w:proofErr w:type="spellStart"/>
      <w:r w:rsidR="009B591A" w:rsidRPr="0064344F">
        <w:rPr>
          <w:sz w:val="22"/>
        </w:rPr>
        <w:t>EnM</w:t>
      </w:r>
      <w:r w:rsidR="0064344F">
        <w:rPr>
          <w:sz w:val="22"/>
        </w:rPr>
        <w:t>A</w:t>
      </w:r>
      <w:r w:rsidR="009B591A" w:rsidRPr="0064344F">
        <w:rPr>
          <w:sz w:val="22"/>
        </w:rPr>
        <w:t>P</w:t>
      </w:r>
      <w:proofErr w:type="spellEnd"/>
      <w:r w:rsidR="009B591A" w:rsidRPr="0064344F">
        <w:rPr>
          <w:sz w:val="22"/>
        </w:rPr>
        <w:t>)</w:t>
      </w:r>
      <w:r w:rsidRPr="0064344F">
        <w:rPr>
          <w:sz w:val="22"/>
        </w:rPr>
        <w:t xml:space="preserve">. Dit plan heeft betrekking </w:t>
      </w:r>
      <w:r w:rsidR="0024640D">
        <w:rPr>
          <w:sz w:val="22"/>
        </w:rPr>
        <w:t>op</w:t>
      </w:r>
      <w:r w:rsidR="0064344F" w:rsidRPr="0064344F">
        <w:rPr>
          <w:sz w:val="22"/>
        </w:rPr>
        <w:t xml:space="preserve"> </w:t>
      </w:r>
      <w:r w:rsidRPr="0064344F">
        <w:rPr>
          <w:sz w:val="22"/>
        </w:rPr>
        <w:t xml:space="preserve">het </w:t>
      </w:r>
      <w:r w:rsidRPr="00E5141A">
        <w:rPr>
          <w:sz w:val="22"/>
        </w:rPr>
        <w:t>jaar</w:t>
      </w:r>
      <w:r w:rsidR="0064344F" w:rsidRPr="00E5141A">
        <w:rPr>
          <w:sz w:val="22"/>
        </w:rPr>
        <w:t xml:space="preserve"> 201</w:t>
      </w:r>
      <w:r w:rsidR="00FF488C">
        <w:rPr>
          <w:sz w:val="22"/>
        </w:rPr>
        <w:t>8</w:t>
      </w:r>
      <w:r w:rsidR="00823157">
        <w:rPr>
          <w:sz w:val="22"/>
        </w:rPr>
        <w:t>.</w:t>
      </w:r>
      <w:r w:rsidRPr="00E5141A">
        <w:rPr>
          <w:sz w:val="22"/>
        </w:rPr>
        <w:t xml:space="preserve"> Het actieplan</w:t>
      </w:r>
      <w:r w:rsidRPr="0064344F">
        <w:rPr>
          <w:sz w:val="22"/>
        </w:rPr>
        <w:t xml:space="preserve"> is opgesteld conform NEN-ISO 50001 en </w:t>
      </w:r>
      <w:r w:rsidR="00056272" w:rsidRPr="0064344F">
        <w:rPr>
          <w:sz w:val="22"/>
        </w:rPr>
        <w:t xml:space="preserve">wordt </w:t>
      </w:r>
      <w:r w:rsidR="009B591A" w:rsidRPr="0064344F">
        <w:rPr>
          <w:sz w:val="22"/>
        </w:rPr>
        <w:t>door middel van</w:t>
      </w:r>
      <w:r w:rsidRPr="0064344F">
        <w:rPr>
          <w:sz w:val="22"/>
        </w:rPr>
        <w:t xml:space="preserve"> de onderteke</w:t>
      </w:r>
      <w:r w:rsidRPr="009B591A">
        <w:rPr>
          <w:sz w:val="22"/>
        </w:rPr>
        <w:t>ning van deze inleiding onderschreven door de directie.</w:t>
      </w:r>
    </w:p>
    <w:p w14:paraId="35215327" w14:textId="77777777" w:rsidR="00357228" w:rsidRPr="009B591A" w:rsidRDefault="00357228" w:rsidP="00357228">
      <w:pPr>
        <w:rPr>
          <w:sz w:val="22"/>
        </w:rPr>
      </w:pPr>
    </w:p>
    <w:p w14:paraId="5A7FD316" w14:textId="77777777" w:rsidR="00B01E1C" w:rsidRPr="009B591A" w:rsidRDefault="00B01E1C" w:rsidP="00B01E1C">
      <w:pPr>
        <w:rPr>
          <w:sz w:val="22"/>
        </w:rPr>
      </w:pPr>
      <w:r w:rsidRPr="009B591A">
        <w:rPr>
          <w:sz w:val="22"/>
        </w:rPr>
        <w:t xml:space="preserve">Al onze projecten zijn min of meer vergelijkbaar. Derhalve hebben wij een vaste set </w:t>
      </w:r>
      <w:proofErr w:type="spellStart"/>
      <w:r w:rsidRPr="009B591A">
        <w:rPr>
          <w:sz w:val="22"/>
        </w:rPr>
        <w:t>maat</w:t>
      </w:r>
      <w:r w:rsidR="00FF488C">
        <w:rPr>
          <w:sz w:val="22"/>
        </w:rPr>
        <w:t>-</w:t>
      </w:r>
      <w:r w:rsidRPr="009B591A">
        <w:rPr>
          <w:sz w:val="22"/>
        </w:rPr>
        <w:t>regelen</w:t>
      </w:r>
      <w:proofErr w:type="spellEnd"/>
      <w:r w:rsidRPr="009B591A">
        <w:rPr>
          <w:sz w:val="22"/>
        </w:rPr>
        <w:t xml:space="preserve"> gedefinieerd die in principe </w:t>
      </w:r>
      <w:r w:rsidR="00F92B43" w:rsidRPr="009B591A">
        <w:rPr>
          <w:sz w:val="22"/>
        </w:rPr>
        <w:t>voor</w:t>
      </w:r>
      <w:r w:rsidRPr="009B591A">
        <w:rPr>
          <w:sz w:val="22"/>
        </w:rPr>
        <w:t xml:space="preserve"> alle projecten geldt. Mochten er projecten zijn waarbij weinig van de bedrijfsmaatregelen toepasbaar zijn, dan zullen wij nagaan of er wellicht andere maatregelen mogelijk zijn in dat specifiek</w:t>
      </w:r>
      <w:r w:rsidR="00F92B43" w:rsidRPr="009B591A">
        <w:rPr>
          <w:sz w:val="22"/>
        </w:rPr>
        <w:t>e project</w:t>
      </w:r>
      <w:r w:rsidR="009B591A">
        <w:rPr>
          <w:sz w:val="22"/>
        </w:rPr>
        <w:t xml:space="preserve"> en </w:t>
      </w:r>
      <w:r w:rsidRPr="009B591A">
        <w:rPr>
          <w:sz w:val="22"/>
        </w:rPr>
        <w:t>of het geheel van bedrijfsmaatregelen wel voldoende compleet is.</w:t>
      </w:r>
    </w:p>
    <w:p w14:paraId="74D1DD9D" w14:textId="77777777" w:rsidR="00B01E1C" w:rsidRPr="009B591A" w:rsidRDefault="00B01E1C" w:rsidP="00357228">
      <w:pPr>
        <w:rPr>
          <w:sz w:val="22"/>
        </w:rPr>
      </w:pPr>
    </w:p>
    <w:p w14:paraId="322FBC15" w14:textId="77777777" w:rsidR="00B01E1C" w:rsidRPr="009B591A" w:rsidRDefault="00357228" w:rsidP="00EF392A">
      <w:pPr>
        <w:rPr>
          <w:sz w:val="22"/>
        </w:rPr>
      </w:pPr>
      <w:r w:rsidRPr="009B591A">
        <w:rPr>
          <w:sz w:val="22"/>
        </w:rPr>
        <w:t xml:space="preserve">Het plan is gecommuniceerd (intern en extern) en </w:t>
      </w:r>
      <w:r w:rsidR="00B01E1C" w:rsidRPr="009B591A">
        <w:rPr>
          <w:sz w:val="22"/>
        </w:rPr>
        <w:t xml:space="preserve">voor zover mogelijk </w:t>
      </w:r>
      <w:r w:rsidRPr="009B591A">
        <w:rPr>
          <w:sz w:val="22"/>
        </w:rPr>
        <w:t xml:space="preserve">geïmplementeerd voor </w:t>
      </w:r>
      <w:r w:rsidR="00056272" w:rsidRPr="009B591A">
        <w:rPr>
          <w:sz w:val="22"/>
        </w:rPr>
        <w:t>ons</w:t>
      </w:r>
      <w:r w:rsidRPr="009B591A">
        <w:rPr>
          <w:sz w:val="22"/>
        </w:rPr>
        <w:t xml:space="preserve"> bedrijf en de projecten waarop CO</w:t>
      </w:r>
      <w:r w:rsidRPr="009B591A">
        <w:rPr>
          <w:rFonts w:ascii="Cambria Math" w:hAnsi="Cambria Math" w:cs="Cambria Math"/>
          <w:sz w:val="22"/>
        </w:rPr>
        <w:t>₂</w:t>
      </w:r>
      <w:r w:rsidRPr="009B591A">
        <w:rPr>
          <w:rFonts w:cs="Arial"/>
          <w:sz w:val="22"/>
        </w:rPr>
        <w:t>-gerelateerd gunning</w:t>
      </w:r>
      <w:r w:rsidR="009B591A">
        <w:rPr>
          <w:rFonts w:cs="Arial"/>
          <w:sz w:val="22"/>
        </w:rPr>
        <w:t>s</w:t>
      </w:r>
      <w:r w:rsidRPr="009B591A">
        <w:rPr>
          <w:rFonts w:cs="Arial"/>
          <w:sz w:val="22"/>
        </w:rPr>
        <w:t>voordeel verkregen is.</w:t>
      </w:r>
      <w:r w:rsidR="00B01E1C" w:rsidRPr="009B591A">
        <w:rPr>
          <w:rFonts w:cs="Arial"/>
          <w:sz w:val="22"/>
        </w:rPr>
        <w:t xml:space="preserve"> Voor zover implementatie van een bepaalde </w:t>
      </w:r>
      <w:r w:rsidR="006F6BBC" w:rsidRPr="009B591A">
        <w:rPr>
          <w:rFonts w:cs="Arial"/>
          <w:sz w:val="22"/>
        </w:rPr>
        <w:t>m</w:t>
      </w:r>
      <w:r w:rsidR="00B01E1C" w:rsidRPr="009B591A">
        <w:rPr>
          <w:rFonts w:cs="Arial"/>
          <w:sz w:val="22"/>
        </w:rPr>
        <w:t xml:space="preserve">aatregel nog niet </w:t>
      </w:r>
      <w:r w:rsidR="009B591A">
        <w:rPr>
          <w:rFonts w:cs="Arial"/>
          <w:sz w:val="22"/>
        </w:rPr>
        <w:t xml:space="preserve">is </w:t>
      </w:r>
      <w:r w:rsidR="00B01E1C" w:rsidRPr="009B591A">
        <w:rPr>
          <w:rFonts w:cs="Arial"/>
          <w:sz w:val="22"/>
        </w:rPr>
        <w:t xml:space="preserve">gerealiseerd is hiervoor een streefdatum in het actieplan vastgelegd. </w:t>
      </w:r>
      <w:r w:rsidR="00EF392A" w:rsidRPr="009B591A">
        <w:rPr>
          <w:sz w:val="22"/>
        </w:rPr>
        <w:t xml:space="preserve">Het plan wordt jaarlijks (of zo vaak als nodig) bijgesteld en goedgekeurd door de directie. </w:t>
      </w:r>
    </w:p>
    <w:p w14:paraId="6C4F48C5" w14:textId="77777777" w:rsidR="00B01E1C" w:rsidRPr="009B591A" w:rsidRDefault="00B01E1C" w:rsidP="00EF392A">
      <w:pPr>
        <w:rPr>
          <w:sz w:val="22"/>
        </w:rPr>
      </w:pPr>
    </w:p>
    <w:p w14:paraId="38A790EC" w14:textId="77777777" w:rsidR="0064344F" w:rsidRPr="0064344F" w:rsidRDefault="00E5141A" w:rsidP="00EF392A">
      <w:pPr>
        <w:rPr>
          <w:sz w:val="22"/>
        </w:rPr>
      </w:pPr>
      <w:r>
        <w:rPr>
          <w:sz w:val="22"/>
        </w:rPr>
        <w:t>De heren R.H. Biesot en B.S. Biesot</w:t>
      </w:r>
      <w:r>
        <w:rPr>
          <w:sz w:val="22"/>
        </w:rPr>
        <w:tab/>
      </w:r>
      <w:r w:rsidR="0064344F">
        <w:rPr>
          <w:sz w:val="22"/>
        </w:rPr>
        <w:tab/>
      </w:r>
      <w:r w:rsidR="00FF488C">
        <w:rPr>
          <w:sz w:val="22"/>
        </w:rPr>
        <w:t>Mevrouw J.B.</w:t>
      </w:r>
      <w:r>
        <w:rPr>
          <w:sz w:val="22"/>
        </w:rPr>
        <w:t xml:space="preserve"> Biesot</w:t>
      </w:r>
    </w:p>
    <w:p w14:paraId="0F6F822F" w14:textId="77777777" w:rsidR="00EF392A" w:rsidRPr="0064344F" w:rsidRDefault="0064344F" w:rsidP="00EF392A">
      <w:pPr>
        <w:rPr>
          <w:i/>
          <w:sz w:val="18"/>
          <w:szCs w:val="18"/>
        </w:rPr>
      </w:pPr>
      <w:r w:rsidRPr="0064344F">
        <w:rPr>
          <w:i/>
          <w:sz w:val="18"/>
          <w:szCs w:val="18"/>
        </w:rPr>
        <w:t>Direct</w:t>
      </w:r>
      <w:r w:rsidR="00E5141A">
        <w:rPr>
          <w:i/>
          <w:sz w:val="18"/>
          <w:szCs w:val="18"/>
        </w:rPr>
        <w:t>i</w:t>
      </w:r>
      <w:r w:rsidRPr="0064344F">
        <w:rPr>
          <w:i/>
          <w:sz w:val="18"/>
          <w:szCs w:val="18"/>
        </w:rPr>
        <w:t>e</w:t>
      </w:r>
      <w:r w:rsidRPr="0064344F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E5141A">
        <w:rPr>
          <w:i/>
          <w:sz w:val="18"/>
          <w:szCs w:val="18"/>
        </w:rPr>
        <w:tab/>
      </w:r>
      <w:r w:rsidR="00E5141A">
        <w:rPr>
          <w:i/>
          <w:sz w:val="18"/>
          <w:szCs w:val="18"/>
        </w:rPr>
        <w:tab/>
      </w:r>
      <w:r w:rsidR="00E5141A">
        <w:rPr>
          <w:i/>
          <w:sz w:val="18"/>
          <w:szCs w:val="18"/>
        </w:rPr>
        <w:tab/>
      </w:r>
      <w:r w:rsidRPr="0064344F">
        <w:rPr>
          <w:i/>
          <w:sz w:val="18"/>
          <w:szCs w:val="18"/>
        </w:rPr>
        <w:tab/>
        <w:t>CO</w:t>
      </w:r>
      <w:r w:rsidRPr="0064344F">
        <w:rPr>
          <w:i/>
          <w:sz w:val="18"/>
          <w:szCs w:val="18"/>
          <w:vertAlign w:val="subscript"/>
        </w:rPr>
        <w:t>2</w:t>
      </w:r>
      <w:r w:rsidRPr="0064344F">
        <w:rPr>
          <w:i/>
          <w:sz w:val="18"/>
          <w:szCs w:val="18"/>
        </w:rPr>
        <w:t>-functionaris</w:t>
      </w:r>
    </w:p>
    <w:p w14:paraId="43E1ED63" w14:textId="77777777" w:rsidR="002C6463" w:rsidRDefault="002C6463">
      <w:pPr>
        <w:rPr>
          <w:sz w:val="22"/>
        </w:rPr>
      </w:pPr>
    </w:p>
    <w:p w14:paraId="4D5CBE2A" w14:textId="77777777" w:rsidR="00E5141A" w:rsidRDefault="00E5141A">
      <w:pPr>
        <w:rPr>
          <w:sz w:val="22"/>
        </w:rPr>
      </w:pPr>
    </w:p>
    <w:p w14:paraId="79F82ADE" w14:textId="77777777" w:rsidR="002C6463" w:rsidRPr="009B591A" w:rsidRDefault="002C6463">
      <w:pPr>
        <w:rPr>
          <w:sz w:val="22"/>
        </w:rPr>
      </w:pPr>
      <w:r w:rsidRPr="009B591A">
        <w:rPr>
          <w:sz w:val="22"/>
        </w:rPr>
        <w:t xml:space="preserve">Voor </w:t>
      </w:r>
      <w:r w:rsidR="00CE5EDA" w:rsidRPr="009B591A">
        <w:rPr>
          <w:sz w:val="22"/>
        </w:rPr>
        <w:t>akkoord</w:t>
      </w:r>
    </w:p>
    <w:p w14:paraId="40919024" w14:textId="77777777" w:rsidR="00056272" w:rsidRPr="0064344F" w:rsidRDefault="00E5141A">
      <w:pPr>
        <w:rPr>
          <w:sz w:val="22"/>
        </w:rPr>
      </w:pPr>
      <w:r>
        <w:rPr>
          <w:sz w:val="22"/>
        </w:rPr>
        <w:t>Vijfhuizen</w:t>
      </w:r>
      <w:r w:rsidR="00056272" w:rsidRPr="0064344F">
        <w:rPr>
          <w:sz w:val="22"/>
        </w:rPr>
        <w:t xml:space="preserve">, </w:t>
      </w:r>
      <w:r w:rsidR="00FF488C">
        <w:rPr>
          <w:sz w:val="22"/>
        </w:rPr>
        <w:t>20</w:t>
      </w:r>
      <w:r>
        <w:rPr>
          <w:sz w:val="22"/>
        </w:rPr>
        <w:t>-0</w:t>
      </w:r>
      <w:r w:rsidR="00FF488C">
        <w:rPr>
          <w:sz w:val="22"/>
        </w:rPr>
        <w:t>9</w:t>
      </w:r>
      <w:r>
        <w:rPr>
          <w:sz w:val="22"/>
        </w:rPr>
        <w:t>-201</w:t>
      </w:r>
      <w:r w:rsidR="00FF488C">
        <w:rPr>
          <w:sz w:val="22"/>
        </w:rPr>
        <w:t>8</w:t>
      </w:r>
    </w:p>
    <w:p w14:paraId="2B539AE8" w14:textId="77777777" w:rsidR="00CE5EDA" w:rsidRDefault="00CE5EDA">
      <w:pPr>
        <w:rPr>
          <w:sz w:val="22"/>
        </w:rPr>
      </w:pPr>
    </w:p>
    <w:p w14:paraId="416A8A5A" w14:textId="77777777" w:rsidR="0064344F" w:rsidRDefault="0064344F">
      <w:pPr>
        <w:rPr>
          <w:sz w:val="22"/>
        </w:rPr>
      </w:pPr>
    </w:p>
    <w:p w14:paraId="2F4A70E5" w14:textId="77777777" w:rsidR="0064344F" w:rsidRDefault="0064344F">
      <w:pPr>
        <w:rPr>
          <w:sz w:val="22"/>
        </w:rPr>
      </w:pPr>
    </w:p>
    <w:p w14:paraId="55D9BEA2" w14:textId="77777777" w:rsidR="0064344F" w:rsidRPr="009B591A" w:rsidRDefault="0064344F">
      <w:pPr>
        <w:rPr>
          <w:sz w:val="22"/>
        </w:rPr>
      </w:pPr>
    </w:p>
    <w:p w14:paraId="1D732498" w14:textId="77777777" w:rsidR="00CE5EDA" w:rsidRPr="009B591A" w:rsidRDefault="00CE5EDA">
      <w:pPr>
        <w:rPr>
          <w:sz w:val="22"/>
        </w:rPr>
      </w:pPr>
    </w:p>
    <w:p w14:paraId="654FA997" w14:textId="77777777" w:rsidR="00056272" w:rsidRPr="009B591A" w:rsidRDefault="00056272">
      <w:pPr>
        <w:rPr>
          <w:sz w:val="22"/>
        </w:rPr>
      </w:pPr>
    </w:p>
    <w:p w14:paraId="3C2A05E9" w14:textId="77777777" w:rsidR="00357228" w:rsidRPr="009B591A" w:rsidRDefault="002C6463">
      <w:pPr>
        <w:rPr>
          <w:sz w:val="22"/>
        </w:rPr>
      </w:pPr>
      <w:r w:rsidRPr="009B591A">
        <w:rPr>
          <w:sz w:val="22"/>
        </w:rPr>
        <w:t>Handtekening</w:t>
      </w:r>
      <w:r w:rsidR="00E5141A">
        <w:rPr>
          <w:sz w:val="22"/>
        </w:rPr>
        <w:t>en</w:t>
      </w:r>
    </w:p>
    <w:p w14:paraId="33317F61" w14:textId="77777777" w:rsidR="00357228" w:rsidRPr="009B591A" w:rsidRDefault="00357228">
      <w:pPr>
        <w:rPr>
          <w:sz w:val="22"/>
        </w:rPr>
      </w:pPr>
    </w:p>
    <w:p w14:paraId="0CF08DE0" w14:textId="77777777" w:rsidR="00357228" w:rsidRPr="009B591A" w:rsidRDefault="00357228">
      <w:pPr>
        <w:rPr>
          <w:sz w:val="22"/>
        </w:rPr>
      </w:pPr>
    </w:p>
    <w:p w14:paraId="037F717E" w14:textId="77777777" w:rsidR="00EF392A" w:rsidRPr="009B591A" w:rsidRDefault="00EF392A">
      <w:pPr>
        <w:rPr>
          <w:color w:val="FF0000"/>
          <w:sz w:val="22"/>
        </w:rPr>
      </w:pPr>
      <w:r w:rsidRPr="009B591A">
        <w:rPr>
          <w:color w:val="FF0000"/>
          <w:sz w:val="22"/>
        </w:rPr>
        <w:br w:type="page"/>
      </w:r>
    </w:p>
    <w:p w14:paraId="4B319B35" w14:textId="77777777" w:rsidR="00BE1EEC" w:rsidRPr="00EF78CD" w:rsidRDefault="00BE1EEC" w:rsidP="00BE1EEC">
      <w:pPr>
        <w:pStyle w:val="Kop1"/>
      </w:pPr>
      <w:bookmarkStart w:id="2" w:name="_Toc485194645"/>
      <w:r w:rsidRPr="00EF78CD">
        <w:lastRenderedPageBreak/>
        <w:t>2.</w:t>
      </w:r>
      <w:r w:rsidRPr="00EF78CD">
        <w:tab/>
        <w:t>Normatieve verwijzingen</w:t>
      </w:r>
      <w:bookmarkEnd w:id="2"/>
    </w:p>
    <w:p w14:paraId="491C0F14" w14:textId="77777777" w:rsidR="00BE1EEC" w:rsidRDefault="00BE1EEC" w:rsidP="00BE1EEC"/>
    <w:p w14:paraId="547B4F67" w14:textId="77777777" w:rsidR="00FD6F92" w:rsidRPr="009B591A" w:rsidRDefault="00FD6F92" w:rsidP="00FD6F92">
      <w:pPr>
        <w:rPr>
          <w:bCs/>
          <w:sz w:val="22"/>
          <w:szCs w:val="22"/>
        </w:rPr>
      </w:pPr>
      <w:r w:rsidRPr="009B591A">
        <w:rPr>
          <w:bCs/>
          <w:sz w:val="22"/>
          <w:szCs w:val="22"/>
        </w:rPr>
        <w:t xml:space="preserve">Dit </w:t>
      </w:r>
      <w:proofErr w:type="spellStart"/>
      <w:r w:rsidR="003B1608">
        <w:rPr>
          <w:bCs/>
          <w:sz w:val="22"/>
          <w:szCs w:val="22"/>
        </w:rPr>
        <w:t>EnM</w:t>
      </w:r>
      <w:r w:rsidR="00E5141A">
        <w:rPr>
          <w:bCs/>
          <w:sz w:val="22"/>
          <w:szCs w:val="22"/>
        </w:rPr>
        <w:t>A</w:t>
      </w:r>
      <w:r w:rsidR="003B1608">
        <w:rPr>
          <w:bCs/>
          <w:sz w:val="22"/>
          <w:szCs w:val="22"/>
        </w:rPr>
        <w:t>P</w:t>
      </w:r>
      <w:proofErr w:type="spellEnd"/>
      <w:r w:rsidRPr="009B591A">
        <w:rPr>
          <w:bCs/>
          <w:sz w:val="22"/>
          <w:szCs w:val="22"/>
        </w:rPr>
        <w:t xml:space="preserve"> is opgebouwd conform de paragrafen 4.4.3, 4.4.4, 4.4.5, 4.4.6, 4.6.1 en 4.6.4 van de norm NEN-ISO 50001. De internationale erkende norm ISO 50001 bestaat uit eise</w:t>
      </w:r>
      <w:r w:rsidR="003B1608">
        <w:rPr>
          <w:bCs/>
          <w:sz w:val="22"/>
          <w:szCs w:val="22"/>
        </w:rPr>
        <w:t>n met gebruiksrichtlijnen voor E</w:t>
      </w:r>
      <w:r w:rsidRPr="009B591A">
        <w:rPr>
          <w:bCs/>
          <w:sz w:val="22"/>
          <w:szCs w:val="22"/>
        </w:rPr>
        <w:t>nergie</w:t>
      </w:r>
      <w:r w:rsidR="003B1608">
        <w:rPr>
          <w:bCs/>
          <w:sz w:val="22"/>
          <w:szCs w:val="22"/>
        </w:rPr>
        <w:t xml:space="preserve"> M</w:t>
      </w:r>
      <w:r w:rsidRPr="009B591A">
        <w:rPr>
          <w:bCs/>
          <w:sz w:val="22"/>
          <w:szCs w:val="22"/>
        </w:rPr>
        <w:t>anagement</w:t>
      </w:r>
      <w:r w:rsidR="003B1608">
        <w:rPr>
          <w:bCs/>
          <w:sz w:val="22"/>
          <w:szCs w:val="22"/>
        </w:rPr>
        <w:t xml:space="preserve"> S</w:t>
      </w:r>
      <w:r w:rsidRPr="009B591A">
        <w:rPr>
          <w:bCs/>
          <w:sz w:val="22"/>
          <w:szCs w:val="22"/>
        </w:rPr>
        <w:t>ystemen</w:t>
      </w:r>
      <w:r w:rsidR="003B1608">
        <w:rPr>
          <w:bCs/>
          <w:sz w:val="22"/>
          <w:szCs w:val="22"/>
        </w:rPr>
        <w:t xml:space="preserve"> (</w:t>
      </w:r>
      <w:proofErr w:type="spellStart"/>
      <w:r w:rsidR="003B1608">
        <w:rPr>
          <w:bCs/>
          <w:sz w:val="22"/>
          <w:szCs w:val="22"/>
        </w:rPr>
        <w:t>EnMS</w:t>
      </w:r>
      <w:proofErr w:type="spellEnd"/>
      <w:r w:rsidR="003B1608">
        <w:rPr>
          <w:bCs/>
          <w:sz w:val="22"/>
          <w:szCs w:val="22"/>
        </w:rPr>
        <w:t>)</w:t>
      </w:r>
      <w:r w:rsidR="00F92B43" w:rsidRPr="009B591A">
        <w:rPr>
          <w:bCs/>
          <w:sz w:val="22"/>
          <w:szCs w:val="22"/>
        </w:rPr>
        <w:t>.</w:t>
      </w:r>
    </w:p>
    <w:p w14:paraId="19A1F3CB" w14:textId="77777777" w:rsidR="00FD6F92" w:rsidRPr="009B591A" w:rsidRDefault="00FD6F92" w:rsidP="00FD6F92">
      <w:pPr>
        <w:rPr>
          <w:bCs/>
          <w:sz w:val="22"/>
          <w:szCs w:val="22"/>
        </w:rPr>
      </w:pPr>
    </w:p>
    <w:p w14:paraId="75127042" w14:textId="77777777" w:rsidR="00BE1EEC" w:rsidRPr="009B591A" w:rsidRDefault="00FD6F92">
      <w:pPr>
        <w:rPr>
          <w:bCs/>
          <w:sz w:val="22"/>
          <w:szCs w:val="22"/>
        </w:rPr>
      </w:pPr>
      <w:r w:rsidRPr="009B591A">
        <w:rPr>
          <w:bCs/>
          <w:sz w:val="22"/>
          <w:szCs w:val="22"/>
        </w:rPr>
        <w:t xml:space="preserve">In de onderstaande tabel is per paragraaf een verwijzing opgenomen naar het hoofdstuk in dit rapport waar het betreffende punt </w:t>
      </w:r>
      <w:r w:rsidR="003B1608">
        <w:rPr>
          <w:bCs/>
          <w:sz w:val="22"/>
          <w:szCs w:val="22"/>
        </w:rPr>
        <w:t>uit de ISO 50001-</w:t>
      </w:r>
      <w:r w:rsidRPr="009B591A">
        <w:rPr>
          <w:bCs/>
          <w:sz w:val="22"/>
          <w:szCs w:val="22"/>
        </w:rPr>
        <w:t>norm wordt behandeld.</w:t>
      </w:r>
    </w:p>
    <w:p w14:paraId="5F69990C" w14:textId="77777777" w:rsidR="00FD6F92" w:rsidRPr="009B591A" w:rsidRDefault="00FD6F92">
      <w:pPr>
        <w:rPr>
          <w:bCs/>
          <w:sz w:val="22"/>
          <w:szCs w:val="22"/>
        </w:rPr>
      </w:pPr>
    </w:p>
    <w:tbl>
      <w:tblPr>
        <w:tblStyle w:val="Lichtraster-accent3"/>
        <w:tblW w:w="9463" w:type="dxa"/>
        <w:tblLook w:val="04A0" w:firstRow="1" w:lastRow="0" w:firstColumn="1" w:lastColumn="0" w:noHBand="0" w:noVBand="1"/>
      </w:tblPr>
      <w:tblGrid>
        <w:gridCol w:w="1668"/>
        <w:gridCol w:w="6378"/>
        <w:gridCol w:w="1417"/>
      </w:tblGrid>
      <w:tr w:rsidR="003446CB" w:rsidRPr="009B591A" w14:paraId="1BC138FB" w14:textId="77777777" w:rsidTr="003B1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712151F9" w14:textId="77777777" w:rsidR="003446CB" w:rsidRPr="009B591A" w:rsidRDefault="003446CB" w:rsidP="003B1608">
            <w:pPr>
              <w:rPr>
                <w:bCs w:val="0"/>
                <w:sz w:val="22"/>
                <w:szCs w:val="22"/>
              </w:rPr>
            </w:pPr>
            <w:r w:rsidRPr="009B591A">
              <w:rPr>
                <w:bCs w:val="0"/>
                <w:sz w:val="22"/>
                <w:szCs w:val="22"/>
              </w:rPr>
              <w:t>ISO 50001</w:t>
            </w:r>
          </w:p>
        </w:tc>
        <w:tc>
          <w:tcPr>
            <w:tcW w:w="6378" w:type="dxa"/>
            <w:vAlign w:val="center"/>
          </w:tcPr>
          <w:p w14:paraId="2652BDE3" w14:textId="77777777" w:rsidR="003446CB" w:rsidRPr="009B591A" w:rsidRDefault="003446CB" w:rsidP="003B16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9B591A">
              <w:rPr>
                <w:bCs w:val="0"/>
                <w:sz w:val="22"/>
                <w:szCs w:val="22"/>
              </w:rPr>
              <w:t>Onderwerp</w:t>
            </w:r>
          </w:p>
        </w:tc>
        <w:tc>
          <w:tcPr>
            <w:tcW w:w="1417" w:type="dxa"/>
            <w:vAlign w:val="center"/>
          </w:tcPr>
          <w:p w14:paraId="4F4B6DD4" w14:textId="77777777" w:rsidR="003446CB" w:rsidRPr="009B591A" w:rsidRDefault="003446CB" w:rsidP="003B16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9B591A">
              <w:rPr>
                <w:bCs w:val="0"/>
                <w:sz w:val="22"/>
                <w:szCs w:val="22"/>
              </w:rPr>
              <w:t>Hoofdstuk</w:t>
            </w:r>
          </w:p>
        </w:tc>
      </w:tr>
      <w:tr w:rsidR="003446CB" w:rsidRPr="009B591A" w14:paraId="5AD8A406" w14:textId="77777777" w:rsidTr="003B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5EB3BC4A" w14:textId="77777777" w:rsidR="003446CB" w:rsidRPr="009B591A" w:rsidRDefault="003446CB" w:rsidP="003B1608">
            <w:pPr>
              <w:rPr>
                <w:bCs w:val="0"/>
                <w:sz w:val="22"/>
                <w:szCs w:val="22"/>
              </w:rPr>
            </w:pPr>
            <w:r w:rsidRPr="009B591A">
              <w:rPr>
                <w:bCs w:val="0"/>
                <w:sz w:val="22"/>
                <w:szCs w:val="22"/>
              </w:rPr>
              <w:t>§ 4.4.3</w:t>
            </w:r>
          </w:p>
        </w:tc>
        <w:tc>
          <w:tcPr>
            <w:tcW w:w="6378" w:type="dxa"/>
            <w:vAlign w:val="center"/>
          </w:tcPr>
          <w:p w14:paraId="304B4B2F" w14:textId="77777777" w:rsidR="003446CB" w:rsidRPr="009B591A" w:rsidRDefault="003446CB" w:rsidP="003B1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B591A">
              <w:rPr>
                <w:bCs/>
                <w:sz w:val="22"/>
                <w:szCs w:val="22"/>
              </w:rPr>
              <w:t>Uitvoeren van een energie</w:t>
            </w:r>
            <w:r w:rsidR="003B1608">
              <w:rPr>
                <w:bCs/>
                <w:sz w:val="22"/>
                <w:szCs w:val="22"/>
              </w:rPr>
              <w:t>beoordeling</w:t>
            </w:r>
          </w:p>
        </w:tc>
        <w:tc>
          <w:tcPr>
            <w:tcW w:w="1417" w:type="dxa"/>
            <w:vAlign w:val="center"/>
          </w:tcPr>
          <w:p w14:paraId="53901DEB" w14:textId="77777777" w:rsidR="003446CB" w:rsidRPr="009B591A" w:rsidRDefault="003446CB" w:rsidP="003B1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B591A">
              <w:rPr>
                <w:bCs/>
                <w:sz w:val="22"/>
                <w:szCs w:val="22"/>
              </w:rPr>
              <w:t>6</w:t>
            </w:r>
          </w:p>
        </w:tc>
      </w:tr>
      <w:tr w:rsidR="003446CB" w:rsidRPr="009B591A" w14:paraId="4744241F" w14:textId="77777777" w:rsidTr="003B16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44196A59" w14:textId="77777777" w:rsidR="003446CB" w:rsidRPr="009B591A" w:rsidRDefault="003446CB" w:rsidP="003B1608">
            <w:pPr>
              <w:rPr>
                <w:bCs w:val="0"/>
                <w:sz w:val="22"/>
                <w:szCs w:val="22"/>
              </w:rPr>
            </w:pPr>
            <w:r w:rsidRPr="009B591A">
              <w:rPr>
                <w:bCs w:val="0"/>
                <w:sz w:val="22"/>
                <w:szCs w:val="22"/>
              </w:rPr>
              <w:t>§ 4.4.4</w:t>
            </w:r>
          </w:p>
        </w:tc>
        <w:tc>
          <w:tcPr>
            <w:tcW w:w="6378" w:type="dxa"/>
            <w:vAlign w:val="center"/>
          </w:tcPr>
          <w:p w14:paraId="1E11AEF4" w14:textId="77777777" w:rsidR="003446CB" w:rsidRPr="009B591A" w:rsidRDefault="003446CB" w:rsidP="003B16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B591A">
              <w:rPr>
                <w:bCs/>
                <w:sz w:val="22"/>
                <w:szCs w:val="22"/>
              </w:rPr>
              <w:t xml:space="preserve">Uitgangswaarden voor </w:t>
            </w:r>
            <w:r w:rsidRPr="002557C1">
              <w:rPr>
                <w:bCs/>
                <w:sz w:val="22"/>
                <w:szCs w:val="22"/>
              </w:rPr>
              <w:t xml:space="preserve">energieverbruik / </w:t>
            </w:r>
            <w:r w:rsidR="00FC6C89">
              <w:rPr>
                <w:bCs/>
                <w:sz w:val="22"/>
                <w:szCs w:val="22"/>
              </w:rPr>
              <w:t>basis</w:t>
            </w:r>
            <w:r w:rsidRPr="002557C1">
              <w:rPr>
                <w:bCs/>
                <w:sz w:val="22"/>
                <w:szCs w:val="22"/>
              </w:rPr>
              <w:t>jaar</w:t>
            </w:r>
          </w:p>
        </w:tc>
        <w:tc>
          <w:tcPr>
            <w:tcW w:w="1417" w:type="dxa"/>
            <w:vAlign w:val="center"/>
          </w:tcPr>
          <w:p w14:paraId="27717938" w14:textId="77777777" w:rsidR="003446CB" w:rsidRPr="009B591A" w:rsidRDefault="003446CB" w:rsidP="003B16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B591A">
              <w:rPr>
                <w:bCs/>
                <w:sz w:val="22"/>
                <w:szCs w:val="22"/>
              </w:rPr>
              <w:t>3</w:t>
            </w:r>
          </w:p>
        </w:tc>
      </w:tr>
      <w:tr w:rsidR="003446CB" w:rsidRPr="009B591A" w14:paraId="70B0E7E6" w14:textId="77777777" w:rsidTr="003B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1C2A9DBE" w14:textId="77777777" w:rsidR="003446CB" w:rsidRPr="009B591A" w:rsidRDefault="003446CB" w:rsidP="003B1608">
            <w:pPr>
              <w:rPr>
                <w:bCs w:val="0"/>
                <w:sz w:val="22"/>
                <w:szCs w:val="22"/>
              </w:rPr>
            </w:pPr>
            <w:r w:rsidRPr="009B591A">
              <w:rPr>
                <w:bCs w:val="0"/>
                <w:sz w:val="22"/>
                <w:szCs w:val="22"/>
              </w:rPr>
              <w:t>§ 4.4.5</w:t>
            </w:r>
          </w:p>
        </w:tc>
        <w:tc>
          <w:tcPr>
            <w:tcW w:w="6378" w:type="dxa"/>
            <w:vAlign w:val="center"/>
          </w:tcPr>
          <w:p w14:paraId="29F24BC1" w14:textId="77777777" w:rsidR="003446CB" w:rsidRPr="009B591A" w:rsidRDefault="003B1608" w:rsidP="003B1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Energie Prestatie-</w:t>
            </w:r>
            <w:r w:rsidR="003446CB" w:rsidRPr="009B591A">
              <w:rPr>
                <w:bCs/>
                <w:sz w:val="22"/>
                <w:szCs w:val="22"/>
              </w:rPr>
              <w:t>Indicatoren</w:t>
            </w:r>
          </w:p>
        </w:tc>
        <w:tc>
          <w:tcPr>
            <w:tcW w:w="1417" w:type="dxa"/>
            <w:vAlign w:val="center"/>
          </w:tcPr>
          <w:p w14:paraId="4F50FAC3" w14:textId="77777777" w:rsidR="003446CB" w:rsidRPr="009B591A" w:rsidRDefault="003446CB" w:rsidP="003B1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B591A">
              <w:rPr>
                <w:bCs/>
                <w:sz w:val="22"/>
                <w:szCs w:val="22"/>
              </w:rPr>
              <w:t>5</w:t>
            </w:r>
          </w:p>
        </w:tc>
      </w:tr>
      <w:tr w:rsidR="003446CB" w:rsidRPr="009B591A" w14:paraId="14CB9983" w14:textId="77777777" w:rsidTr="003B16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4DBD5352" w14:textId="77777777" w:rsidR="003446CB" w:rsidRPr="009B591A" w:rsidRDefault="003446CB" w:rsidP="003B1608">
            <w:pPr>
              <w:rPr>
                <w:bCs w:val="0"/>
                <w:sz w:val="22"/>
                <w:szCs w:val="22"/>
              </w:rPr>
            </w:pPr>
            <w:r w:rsidRPr="009B591A">
              <w:rPr>
                <w:bCs w:val="0"/>
                <w:sz w:val="22"/>
                <w:szCs w:val="22"/>
              </w:rPr>
              <w:t>§ 4.4.6</w:t>
            </w:r>
          </w:p>
        </w:tc>
        <w:tc>
          <w:tcPr>
            <w:tcW w:w="6378" w:type="dxa"/>
            <w:vAlign w:val="center"/>
          </w:tcPr>
          <w:p w14:paraId="733258DD" w14:textId="77777777" w:rsidR="003446CB" w:rsidRPr="009B591A" w:rsidRDefault="003446CB" w:rsidP="003B16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B591A">
              <w:rPr>
                <w:bCs/>
                <w:sz w:val="22"/>
                <w:szCs w:val="22"/>
              </w:rPr>
              <w:t xml:space="preserve">Doelstellingen, </w:t>
            </w:r>
            <w:r w:rsidR="003B1608">
              <w:rPr>
                <w:bCs/>
                <w:sz w:val="22"/>
                <w:szCs w:val="22"/>
              </w:rPr>
              <w:t>t</w:t>
            </w:r>
            <w:r w:rsidRPr="009B591A">
              <w:rPr>
                <w:bCs/>
                <w:sz w:val="22"/>
                <w:szCs w:val="22"/>
              </w:rPr>
              <w:t xml:space="preserve">aakstellingen, </w:t>
            </w:r>
            <w:r w:rsidR="003B1608">
              <w:rPr>
                <w:bCs/>
                <w:sz w:val="22"/>
                <w:szCs w:val="22"/>
              </w:rPr>
              <w:t>a</w:t>
            </w:r>
            <w:r w:rsidRPr="009B591A">
              <w:rPr>
                <w:bCs/>
                <w:sz w:val="22"/>
                <w:szCs w:val="22"/>
              </w:rPr>
              <w:t>ctieplan</w:t>
            </w:r>
          </w:p>
        </w:tc>
        <w:tc>
          <w:tcPr>
            <w:tcW w:w="1417" w:type="dxa"/>
            <w:vAlign w:val="center"/>
          </w:tcPr>
          <w:p w14:paraId="6D87FB96" w14:textId="77777777" w:rsidR="003446CB" w:rsidRPr="009B591A" w:rsidRDefault="002557C1" w:rsidP="003B16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3446CB" w:rsidRPr="009B591A" w14:paraId="36B70F85" w14:textId="77777777" w:rsidTr="003B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61CCFF58" w14:textId="77777777" w:rsidR="003446CB" w:rsidRPr="009B591A" w:rsidRDefault="003446CB" w:rsidP="003B1608">
            <w:pPr>
              <w:rPr>
                <w:bCs w:val="0"/>
                <w:sz w:val="22"/>
                <w:szCs w:val="22"/>
              </w:rPr>
            </w:pPr>
            <w:r w:rsidRPr="009B591A">
              <w:rPr>
                <w:bCs w:val="0"/>
                <w:sz w:val="22"/>
                <w:szCs w:val="22"/>
              </w:rPr>
              <w:t>§ 4.6.1</w:t>
            </w:r>
          </w:p>
        </w:tc>
        <w:tc>
          <w:tcPr>
            <w:tcW w:w="6378" w:type="dxa"/>
            <w:vAlign w:val="center"/>
          </w:tcPr>
          <w:p w14:paraId="106CBB1F" w14:textId="77777777" w:rsidR="003446CB" w:rsidRPr="009B591A" w:rsidRDefault="003446CB" w:rsidP="003B1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B591A">
              <w:rPr>
                <w:bCs/>
                <w:sz w:val="22"/>
                <w:szCs w:val="22"/>
              </w:rPr>
              <w:t>Monitor</w:t>
            </w:r>
            <w:r w:rsidR="003B1608">
              <w:rPr>
                <w:bCs/>
                <w:sz w:val="22"/>
                <w:szCs w:val="22"/>
              </w:rPr>
              <w:t>en</w:t>
            </w:r>
            <w:r w:rsidRPr="009B591A">
              <w:rPr>
                <w:bCs/>
                <w:sz w:val="22"/>
                <w:szCs w:val="22"/>
              </w:rPr>
              <w:t>, meten en analyseren</w:t>
            </w:r>
          </w:p>
        </w:tc>
        <w:tc>
          <w:tcPr>
            <w:tcW w:w="1417" w:type="dxa"/>
            <w:vAlign w:val="center"/>
          </w:tcPr>
          <w:p w14:paraId="36535A2C" w14:textId="77777777" w:rsidR="003446CB" w:rsidRPr="009B591A" w:rsidRDefault="003446CB" w:rsidP="003B1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B591A">
              <w:rPr>
                <w:bCs/>
                <w:sz w:val="22"/>
                <w:szCs w:val="22"/>
              </w:rPr>
              <w:t>5</w:t>
            </w:r>
          </w:p>
        </w:tc>
      </w:tr>
      <w:tr w:rsidR="003446CB" w:rsidRPr="009B591A" w14:paraId="22DE75F7" w14:textId="77777777" w:rsidTr="003B16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27DB2A60" w14:textId="77777777" w:rsidR="003446CB" w:rsidRPr="009B591A" w:rsidRDefault="003446CB" w:rsidP="003B1608">
            <w:pPr>
              <w:rPr>
                <w:bCs w:val="0"/>
                <w:sz w:val="22"/>
                <w:szCs w:val="22"/>
              </w:rPr>
            </w:pPr>
            <w:r w:rsidRPr="009B591A">
              <w:rPr>
                <w:bCs w:val="0"/>
                <w:sz w:val="22"/>
                <w:szCs w:val="22"/>
              </w:rPr>
              <w:t>§ 4.6.4</w:t>
            </w:r>
          </w:p>
        </w:tc>
        <w:tc>
          <w:tcPr>
            <w:tcW w:w="6378" w:type="dxa"/>
            <w:vAlign w:val="center"/>
          </w:tcPr>
          <w:p w14:paraId="1DF55C2D" w14:textId="77777777" w:rsidR="003446CB" w:rsidRPr="009B591A" w:rsidRDefault="003446CB" w:rsidP="003B16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B591A">
              <w:rPr>
                <w:bCs/>
                <w:sz w:val="22"/>
                <w:szCs w:val="22"/>
              </w:rPr>
              <w:t>Afwijkingen, correcties, corrigerende en preventieve maatregelen</w:t>
            </w:r>
          </w:p>
        </w:tc>
        <w:tc>
          <w:tcPr>
            <w:tcW w:w="1417" w:type="dxa"/>
            <w:vAlign w:val="center"/>
          </w:tcPr>
          <w:p w14:paraId="68DDDFC5" w14:textId="77777777" w:rsidR="003446CB" w:rsidRPr="009B591A" w:rsidRDefault="003446CB" w:rsidP="003B16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B591A">
              <w:rPr>
                <w:bCs/>
                <w:sz w:val="22"/>
                <w:szCs w:val="22"/>
              </w:rPr>
              <w:t>3</w:t>
            </w:r>
          </w:p>
        </w:tc>
      </w:tr>
    </w:tbl>
    <w:p w14:paraId="4B603FB3" w14:textId="77777777" w:rsidR="00FD6F92" w:rsidRDefault="00FD6F92">
      <w:pPr>
        <w:rPr>
          <w:bCs/>
        </w:rPr>
      </w:pPr>
    </w:p>
    <w:p w14:paraId="46788DFE" w14:textId="77777777" w:rsidR="00FD6F92" w:rsidRDefault="00FD6F92">
      <w:pPr>
        <w:rPr>
          <w:b/>
          <w:bCs/>
          <w:sz w:val="36"/>
        </w:rPr>
      </w:pPr>
    </w:p>
    <w:p w14:paraId="19EC2C8E" w14:textId="77777777" w:rsidR="00EF392A" w:rsidRPr="00EF78CD" w:rsidRDefault="00BE1EEC" w:rsidP="00EF392A">
      <w:pPr>
        <w:pStyle w:val="Kop1"/>
      </w:pPr>
      <w:bookmarkStart w:id="3" w:name="_Toc485194646"/>
      <w:r w:rsidRPr="00EF78CD">
        <w:t>3</w:t>
      </w:r>
      <w:r w:rsidR="00EF392A" w:rsidRPr="00EF78CD">
        <w:t>.</w:t>
      </w:r>
      <w:r w:rsidRPr="00EF78CD">
        <w:tab/>
      </w:r>
      <w:r w:rsidR="00EF392A" w:rsidRPr="00EF78CD">
        <w:t>Reductiedoelstellingen</w:t>
      </w:r>
      <w:r w:rsidR="002C6463" w:rsidRPr="00EF78CD">
        <w:t xml:space="preserve"> t</w:t>
      </w:r>
      <w:r w:rsidR="003B1608" w:rsidRPr="00EF78CD">
        <w:t xml:space="preserve">en opzichte van </w:t>
      </w:r>
      <w:r w:rsidR="007D180C">
        <w:br/>
        <w:t xml:space="preserve">       </w:t>
      </w:r>
      <w:r w:rsidR="003B1608" w:rsidRPr="00EF78CD">
        <w:t>het</w:t>
      </w:r>
      <w:r w:rsidR="002C6463" w:rsidRPr="00EF78CD">
        <w:t xml:space="preserve"> basisjaar</w:t>
      </w:r>
      <w:bookmarkEnd w:id="3"/>
    </w:p>
    <w:p w14:paraId="147610EA" w14:textId="77777777" w:rsidR="00EF392A" w:rsidRPr="009B591A" w:rsidRDefault="00BE1EEC" w:rsidP="00EF392A">
      <w:pPr>
        <w:pStyle w:val="Kop2"/>
        <w:rPr>
          <w:sz w:val="22"/>
          <w:szCs w:val="22"/>
        </w:rPr>
      </w:pPr>
      <w:bookmarkStart w:id="4" w:name="_Toc485194647"/>
      <w:r w:rsidRPr="009B591A">
        <w:rPr>
          <w:sz w:val="22"/>
          <w:szCs w:val="22"/>
        </w:rPr>
        <w:t>3</w:t>
      </w:r>
      <w:r w:rsidR="00EF392A" w:rsidRPr="009B591A">
        <w:rPr>
          <w:sz w:val="22"/>
          <w:szCs w:val="22"/>
        </w:rPr>
        <w:t>.1</w:t>
      </w:r>
      <w:r w:rsidR="00EF392A" w:rsidRPr="009B591A">
        <w:rPr>
          <w:sz w:val="22"/>
          <w:szCs w:val="22"/>
        </w:rPr>
        <w:tab/>
        <w:t>Algemeen</w:t>
      </w:r>
      <w:bookmarkEnd w:id="4"/>
    </w:p>
    <w:p w14:paraId="1073A5DF" w14:textId="77777777" w:rsidR="00EF392A" w:rsidRPr="009B591A" w:rsidRDefault="00EF392A" w:rsidP="00EF392A">
      <w:pPr>
        <w:rPr>
          <w:sz w:val="22"/>
          <w:szCs w:val="22"/>
        </w:rPr>
      </w:pPr>
    </w:p>
    <w:p w14:paraId="3FAF0CB7" w14:textId="77777777" w:rsidR="00EF392A" w:rsidRPr="0064344F" w:rsidRDefault="00EF392A" w:rsidP="00EF392A">
      <w:pPr>
        <w:rPr>
          <w:sz w:val="22"/>
          <w:szCs w:val="22"/>
        </w:rPr>
      </w:pPr>
      <w:r w:rsidRPr="009B591A">
        <w:rPr>
          <w:sz w:val="22"/>
          <w:szCs w:val="22"/>
        </w:rPr>
        <w:t xml:space="preserve">De meest materiële emissies zijn </w:t>
      </w:r>
      <w:r w:rsidRPr="0064344F">
        <w:rPr>
          <w:sz w:val="22"/>
          <w:szCs w:val="22"/>
        </w:rPr>
        <w:t>bepaald in de CO</w:t>
      </w:r>
      <w:r w:rsidRPr="0064344F">
        <w:rPr>
          <w:sz w:val="22"/>
          <w:szCs w:val="22"/>
          <w:vertAlign w:val="subscript"/>
        </w:rPr>
        <w:t>2</w:t>
      </w:r>
      <w:r w:rsidRPr="0064344F">
        <w:rPr>
          <w:sz w:val="22"/>
          <w:szCs w:val="22"/>
        </w:rPr>
        <w:t xml:space="preserve">-footprint van </w:t>
      </w:r>
      <w:r w:rsidR="00E5141A">
        <w:rPr>
          <w:sz w:val="22"/>
          <w:szCs w:val="22"/>
        </w:rPr>
        <w:t>Biesot B.V.</w:t>
      </w:r>
      <w:r w:rsidRPr="0064344F">
        <w:rPr>
          <w:sz w:val="22"/>
          <w:szCs w:val="22"/>
        </w:rPr>
        <w:t xml:space="preserve"> Jaarlijks zal in </w:t>
      </w:r>
      <w:r w:rsidR="00303FF5">
        <w:rPr>
          <w:sz w:val="22"/>
          <w:szCs w:val="22"/>
        </w:rPr>
        <w:br/>
      </w:r>
      <w:r w:rsidR="003B1608" w:rsidRPr="0064344F">
        <w:rPr>
          <w:sz w:val="22"/>
          <w:szCs w:val="22"/>
        </w:rPr>
        <w:t>de</w:t>
      </w:r>
      <w:r w:rsidRPr="0064344F">
        <w:rPr>
          <w:sz w:val="22"/>
          <w:szCs w:val="22"/>
        </w:rPr>
        <w:t xml:space="preserve"> energie</w:t>
      </w:r>
      <w:r w:rsidR="003B1608" w:rsidRPr="0064344F">
        <w:rPr>
          <w:sz w:val="22"/>
          <w:szCs w:val="22"/>
        </w:rPr>
        <w:t>beoordeling</w:t>
      </w:r>
      <w:r w:rsidRPr="0064344F">
        <w:rPr>
          <w:sz w:val="22"/>
          <w:szCs w:val="22"/>
        </w:rPr>
        <w:t xml:space="preserve"> worden nagegaan of de emissie</w:t>
      </w:r>
      <w:r w:rsidR="00306844" w:rsidRPr="0064344F">
        <w:rPr>
          <w:sz w:val="22"/>
          <w:szCs w:val="22"/>
        </w:rPr>
        <w:t>-</w:t>
      </w:r>
      <w:r w:rsidRPr="0064344F">
        <w:rPr>
          <w:sz w:val="22"/>
          <w:szCs w:val="22"/>
        </w:rPr>
        <w:t xml:space="preserve">inventaris (onderdeel van de </w:t>
      </w:r>
      <w:r w:rsidR="00303FF5">
        <w:rPr>
          <w:sz w:val="22"/>
          <w:szCs w:val="22"/>
        </w:rPr>
        <w:br/>
      </w:r>
      <w:r w:rsidRPr="0064344F">
        <w:rPr>
          <w:sz w:val="22"/>
          <w:szCs w:val="22"/>
        </w:rPr>
        <w:t>CO</w:t>
      </w:r>
      <w:r w:rsidRPr="0064344F">
        <w:rPr>
          <w:sz w:val="22"/>
          <w:szCs w:val="22"/>
          <w:vertAlign w:val="subscript"/>
        </w:rPr>
        <w:t>2</w:t>
      </w:r>
      <w:r w:rsidRPr="0064344F">
        <w:rPr>
          <w:sz w:val="22"/>
          <w:szCs w:val="22"/>
        </w:rPr>
        <w:t>-fo</w:t>
      </w:r>
      <w:r w:rsidR="00F92B43" w:rsidRPr="0064344F">
        <w:rPr>
          <w:sz w:val="22"/>
          <w:szCs w:val="22"/>
        </w:rPr>
        <w:t xml:space="preserve">otprint rapportage) actueel is </w:t>
      </w:r>
      <w:r w:rsidRPr="0064344F">
        <w:rPr>
          <w:sz w:val="22"/>
          <w:szCs w:val="22"/>
        </w:rPr>
        <w:t>en zal er vorm worden gegeven aan onze reductie</w:t>
      </w:r>
      <w:r w:rsidR="00FF488C">
        <w:rPr>
          <w:sz w:val="22"/>
          <w:szCs w:val="22"/>
        </w:rPr>
        <w:t>-</w:t>
      </w:r>
      <w:r w:rsidRPr="0064344F">
        <w:rPr>
          <w:sz w:val="22"/>
          <w:szCs w:val="22"/>
        </w:rPr>
        <w:t xml:space="preserve">doelstellingen. </w:t>
      </w:r>
    </w:p>
    <w:p w14:paraId="3987A4DE" w14:textId="77777777" w:rsidR="00EF392A" w:rsidRPr="0064344F" w:rsidRDefault="00EF392A" w:rsidP="00EF392A">
      <w:pPr>
        <w:rPr>
          <w:sz w:val="22"/>
          <w:szCs w:val="22"/>
        </w:rPr>
      </w:pPr>
    </w:p>
    <w:p w14:paraId="23CCB111" w14:textId="77777777" w:rsidR="00EF392A" w:rsidRPr="00E5141A" w:rsidRDefault="00EF392A" w:rsidP="00EF392A">
      <w:pPr>
        <w:rPr>
          <w:sz w:val="22"/>
          <w:szCs w:val="22"/>
        </w:rPr>
      </w:pPr>
      <w:r w:rsidRPr="0064344F">
        <w:rPr>
          <w:sz w:val="22"/>
          <w:szCs w:val="22"/>
        </w:rPr>
        <w:t xml:space="preserve">De algemene bedrijfsdoelstelling is een </w:t>
      </w:r>
      <w:r w:rsidRPr="00E5141A">
        <w:rPr>
          <w:sz w:val="22"/>
          <w:szCs w:val="22"/>
        </w:rPr>
        <w:t>reductie van</w:t>
      </w:r>
      <w:r w:rsidR="0064344F" w:rsidRPr="00E5141A">
        <w:rPr>
          <w:sz w:val="22"/>
          <w:szCs w:val="22"/>
        </w:rPr>
        <w:t xml:space="preserve"> </w:t>
      </w:r>
      <w:r w:rsidR="00257FCB">
        <w:rPr>
          <w:sz w:val="22"/>
          <w:szCs w:val="22"/>
        </w:rPr>
        <w:t>6</w:t>
      </w:r>
      <w:r w:rsidRPr="00E5141A">
        <w:rPr>
          <w:sz w:val="22"/>
          <w:szCs w:val="22"/>
        </w:rPr>
        <w:t>% in</w:t>
      </w:r>
      <w:r w:rsidR="0064344F" w:rsidRPr="00E5141A">
        <w:rPr>
          <w:sz w:val="22"/>
          <w:szCs w:val="22"/>
        </w:rPr>
        <w:t xml:space="preserve"> 20</w:t>
      </w:r>
      <w:r w:rsidR="00EE303A" w:rsidRPr="00E5141A">
        <w:rPr>
          <w:sz w:val="22"/>
          <w:szCs w:val="22"/>
        </w:rPr>
        <w:t>2</w:t>
      </w:r>
      <w:r w:rsidR="0064344F" w:rsidRPr="00E5141A">
        <w:rPr>
          <w:sz w:val="22"/>
          <w:szCs w:val="22"/>
        </w:rPr>
        <w:t>1</w:t>
      </w:r>
      <w:r w:rsidRPr="00E5141A">
        <w:rPr>
          <w:sz w:val="22"/>
          <w:szCs w:val="22"/>
        </w:rPr>
        <w:t xml:space="preserve"> ten opzichte van de uitstoot in het basisjaar</w:t>
      </w:r>
      <w:r w:rsidR="0064344F" w:rsidRPr="00E5141A">
        <w:rPr>
          <w:sz w:val="22"/>
          <w:szCs w:val="22"/>
        </w:rPr>
        <w:t xml:space="preserve"> 201</w:t>
      </w:r>
      <w:r w:rsidR="00EE303A" w:rsidRPr="00E5141A">
        <w:rPr>
          <w:sz w:val="22"/>
          <w:szCs w:val="22"/>
        </w:rPr>
        <w:t>6</w:t>
      </w:r>
      <w:r w:rsidRPr="00E5141A">
        <w:rPr>
          <w:sz w:val="22"/>
          <w:szCs w:val="22"/>
        </w:rPr>
        <w:t xml:space="preserve">. </w:t>
      </w:r>
      <w:r w:rsidR="00B01E1C" w:rsidRPr="00E5141A">
        <w:rPr>
          <w:sz w:val="22"/>
          <w:szCs w:val="22"/>
        </w:rPr>
        <w:t>Dit</w:t>
      </w:r>
      <w:r w:rsidRPr="00E5141A">
        <w:rPr>
          <w:sz w:val="22"/>
          <w:szCs w:val="22"/>
        </w:rPr>
        <w:t xml:space="preserve"> </w:t>
      </w:r>
      <w:proofErr w:type="spellStart"/>
      <w:r w:rsidR="003B1608" w:rsidRPr="00E5141A">
        <w:rPr>
          <w:sz w:val="22"/>
          <w:szCs w:val="22"/>
        </w:rPr>
        <w:t>EnM</w:t>
      </w:r>
      <w:r w:rsidR="0064344F" w:rsidRPr="00E5141A">
        <w:rPr>
          <w:sz w:val="22"/>
          <w:szCs w:val="22"/>
        </w:rPr>
        <w:t>A</w:t>
      </w:r>
      <w:r w:rsidR="003B1608" w:rsidRPr="00E5141A">
        <w:rPr>
          <w:sz w:val="22"/>
          <w:szCs w:val="22"/>
        </w:rPr>
        <w:t>P</w:t>
      </w:r>
      <w:proofErr w:type="spellEnd"/>
      <w:r w:rsidRPr="00E5141A">
        <w:rPr>
          <w:sz w:val="22"/>
          <w:szCs w:val="22"/>
        </w:rPr>
        <w:t xml:space="preserve"> beschrijft welke maatregelen wij gaan nemen om deze reductiedoelstelling te kunnen behalen.</w:t>
      </w:r>
    </w:p>
    <w:p w14:paraId="7EB19989" w14:textId="77777777" w:rsidR="00767C4A" w:rsidRPr="009B591A" w:rsidRDefault="00767C4A" w:rsidP="00EF392A">
      <w:pPr>
        <w:rPr>
          <w:sz w:val="22"/>
          <w:szCs w:val="22"/>
        </w:rPr>
      </w:pPr>
    </w:p>
    <w:p w14:paraId="7E5C1E18" w14:textId="77777777" w:rsidR="00EF392A" w:rsidRPr="009B591A" w:rsidRDefault="003F4302" w:rsidP="00EF392A">
      <w:pPr>
        <w:rPr>
          <w:bCs/>
          <w:iCs/>
          <w:sz w:val="22"/>
          <w:szCs w:val="22"/>
        </w:rPr>
      </w:pPr>
      <w:r w:rsidRPr="003B1608">
        <w:rPr>
          <w:bCs/>
          <w:iCs/>
          <w:sz w:val="22"/>
          <w:szCs w:val="22"/>
        </w:rPr>
        <w:t xml:space="preserve">Onze reductiedoelstelling is gebaseerd op onze relatieve positie binnen de sector die wij bepaald hebben aan de hand </w:t>
      </w:r>
      <w:r>
        <w:rPr>
          <w:bCs/>
          <w:iCs/>
          <w:sz w:val="22"/>
          <w:szCs w:val="22"/>
        </w:rPr>
        <w:t>van beoordeling van maatregelen van meerdere relaties van Nedcon Organisatieadvies b.v. en de beschikbaar gestelde maatregel</w:t>
      </w:r>
      <w:r w:rsidRPr="00A80118">
        <w:rPr>
          <w:bCs/>
          <w:iCs/>
          <w:sz w:val="22"/>
          <w:szCs w:val="22"/>
        </w:rPr>
        <w:t xml:space="preserve">lijst van </w:t>
      </w:r>
      <w:r w:rsidRPr="0064344F">
        <w:rPr>
          <w:bCs/>
          <w:iCs/>
          <w:sz w:val="22"/>
          <w:szCs w:val="22"/>
        </w:rPr>
        <w:t xml:space="preserve">SKAO. Hieruit blijkt dat wij door onze reeds gerealiseerde maatregelen </w:t>
      </w:r>
      <w:r>
        <w:rPr>
          <w:bCs/>
          <w:iCs/>
          <w:sz w:val="22"/>
          <w:szCs w:val="22"/>
        </w:rPr>
        <w:t xml:space="preserve">een </w:t>
      </w:r>
      <w:r w:rsidRPr="0064344F">
        <w:rPr>
          <w:bCs/>
          <w:iCs/>
          <w:sz w:val="22"/>
          <w:szCs w:val="22"/>
        </w:rPr>
        <w:t>relatieve ‘</w:t>
      </w:r>
      <w:r>
        <w:rPr>
          <w:bCs/>
          <w:iCs/>
          <w:sz w:val="22"/>
          <w:szCs w:val="22"/>
        </w:rPr>
        <w:t>middenmoter</w:t>
      </w:r>
      <w:r w:rsidRPr="0064344F">
        <w:rPr>
          <w:bCs/>
          <w:iCs/>
          <w:sz w:val="22"/>
          <w:szCs w:val="22"/>
        </w:rPr>
        <w:t>’ z</w:t>
      </w:r>
      <w:r w:rsidRPr="003B1608">
        <w:rPr>
          <w:bCs/>
          <w:iCs/>
          <w:sz w:val="22"/>
          <w:szCs w:val="22"/>
        </w:rPr>
        <w:t>ijn binnen de sector.</w:t>
      </w:r>
    </w:p>
    <w:p w14:paraId="2EFB6C57" w14:textId="77777777" w:rsidR="00BA7334" w:rsidRPr="009B591A" w:rsidRDefault="00BA7334" w:rsidP="00EF392A">
      <w:pPr>
        <w:rPr>
          <w:bCs/>
          <w:iCs/>
          <w:sz w:val="22"/>
          <w:szCs w:val="22"/>
        </w:rPr>
      </w:pPr>
    </w:p>
    <w:p w14:paraId="7E78158D" w14:textId="77777777" w:rsidR="00FF488C" w:rsidRDefault="00BA7334" w:rsidP="00EF392A">
      <w:pPr>
        <w:rPr>
          <w:bCs/>
          <w:iCs/>
          <w:sz w:val="22"/>
          <w:szCs w:val="22"/>
        </w:rPr>
      </w:pPr>
      <w:r w:rsidRPr="009B591A">
        <w:rPr>
          <w:bCs/>
          <w:iCs/>
          <w:sz w:val="22"/>
          <w:szCs w:val="22"/>
        </w:rPr>
        <w:t>Wanneer wij o</w:t>
      </w:r>
      <w:r w:rsidRPr="0064344F">
        <w:rPr>
          <w:bCs/>
          <w:iCs/>
          <w:sz w:val="22"/>
          <w:szCs w:val="22"/>
        </w:rPr>
        <w:t>nze doelstellingen realiseren verwachten wij onze positie te verbeteren</w:t>
      </w:r>
      <w:r w:rsidR="003B1608" w:rsidRPr="0064344F">
        <w:rPr>
          <w:bCs/>
          <w:iCs/>
          <w:sz w:val="22"/>
          <w:szCs w:val="22"/>
        </w:rPr>
        <w:t xml:space="preserve"> </w:t>
      </w:r>
      <w:r w:rsidR="007D180C">
        <w:rPr>
          <w:bCs/>
          <w:iCs/>
          <w:sz w:val="22"/>
          <w:szCs w:val="22"/>
        </w:rPr>
        <w:t xml:space="preserve">als </w:t>
      </w:r>
      <w:r w:rsidR="0064344F" w:rsidRPr="0064344F">
        <w:rPr>
          <w:bCs/>
          <w:iCs/>
          <w:sz w:val="22"/>
          <w:szCs w:val="22"/>
        </w:rPr>
        <w:t>‘</w:t>
      </w:r>
      <w:r w:rsidRPr="0064344F">
        <w:rPr>
          <w:bCs/>
          <w:iCs/>
          <w:sz w:val="22"/>
          <w:szCs w:val="22"/>
        </w:rPr>
        <w:t>middenmot</w:t>
      </w:r>
      <w:r w:rsidR="007D180C">
        <w:rPr>
          <w:bCs/>
          <w:iCs/>
          <w:sz w:val="22"/>
          <w:szCs w:val="22"/>
        </w:rPr>
        <w:t>e</w:t>
      </w:r>
      <w:r w:rsidRPr="0064344F">
        <w:rPr>
          <w:bCs/>
          <w:iCs/>
          <w:sz w:val="22"/>
          <w:szCs w:val="22"/>
        </w:rPr>
        <w:t>r</w:t>
      </w:r>
      <w:r w:rsidR="0064344F" w:rsidRPr="0064344F">
        <w:rPr>
          <w:bCs/>
          <w:iCs/>
          <w:sz w:val="22"/>
          <w:szCs w:val="22"/>
        </w:rPr>
        <w:t>’</w:t>
      </w:r>
      <w:r w:rsidRPr="0064344F">
        <w:rPr>
          <w:bCs/>
          <w:iCs/>
          <w:sz w:val="22"/>
          <w:szCs w:val="22"/>
        </w:rPr>
        <w:t>.</w:t>
      </w:r>
    </w:p>
    <w:p w14:paraId="5FDFBB28" w14:textId="77777777" w:rsidR="00BA7334" w:rsidRPr="0064344F" w:rsidRDefault="00BA7334" w:rsidP="00EF392A">
      <w:pPr>
        <w:rPr>
          <w:sz w:val="22"/>
          <w:szCs w:val="22"/>
        </w:rPr>
      </w:pPr>
      <w:r w:rsidRPr="0064344F">
        <w:rPr>
          <w:bCs/>
          <w:iCs/>
          <w:sz w:val="22"/>
          <w:szCs w:val="22"/>
        </w:rPr>
        <w:t xml:space="preserve"> </w:t>
      </w:r>
    </w:p>
    <w:p w14:paraId="251BCDF7" w14:textId="77777777" w:rsidR="00EF392A" w:rsidRPr="009B591A" w:rsidRDefault="00BE1EEC" w:rsidP="00EF392A">
      <w:pPr>
        <w:pStyle w:val="Kop2"/>
        <w:rPr>
          <w:sz w:val="22"/>
          <w:szCs w:val="22"/>
        </w:rPr>
      </w:pPr>
      <w:bookmarkStart w:id="5" w:name="_Toc485194648"/>
      <w:r w:rsidRPr="0064344F">
        <w:rPr>
          <w:sz w:val="22"/>
          <w:szCs w:val="22"/>
        </w:rPr>
        <w:lastRenderedPageBreak/>
        <w:t>3</w:t>
      </w:r>
      <w:r w:rsidR="003A69E8" w:rsidRPr="0064344F">
        <w:rPr>
          <w:sz w:val="22"/>
          <w:szCs w:val="22"/>
        </w:rPr>
        <w:t>.2</w:t>
      </w:r>
      <w:r w:rsidR="00EF392A" w:rsidRPr="0064344F">
        <w:rPr>
          <w:sz w:val="22"/>
          <w:szCs w:val="22"/>
        </w:rPr>
        <w:tab/>
        <w:t>Reduc</w:t>
      </w:r>
      <w:r w:rsidR="00EF392A" w:rsidRPr="009B591A">
        <w:rPr>
          <w:sz w:val="22"/>
          <w:szCs w:val="22"/>
        </w:rPr>
        <w:t>tiedoelstelling per jaar per scope</w:t>
      </w:r>
      <w:bookmarkEnd w:id="5"/>
      <w:r w:rsidR="00EF392A" w:rsidRPr="009B591A">
        <w:rPr>
          <w:sz w:val="22"/>
          <w:szCs w:val="22"/>
        </w:rPr>
        <w:tab/>
      </w:r>
    </w:p>
    <w:p w14:paraId="36B94DCE" w14:textId="77777777" w:rsidR="00EF392A" w:rsidRPr="009B591A" w:rsidRDefault="00EF392A" w:rsidP="00EF392A">
      <w:pPr>
        <w:rPr>
          <w:sz w:val="22"/>
          <w:szCs w:val="22"/>
        </w:rPr>
      </w:pPr>
    </w:p>
    <w:p w14:paraId="7DEA9FD7" w14:textId="77777777" w:rsidR="00EF392A" w:rsidRPr="0064344F" w:rsidRDefault="00EF392A" w:rsidP="00EF392A">
      <w:pPr>
        <w:rPr>
          <w:sz w:val="22"/>
          <w:szCs w:val="22"/>
        </w:rPr>
      </w:pPr>
      <w:r w:rsidRPr="009B591A">
        <w:rPr>
          <w:sz w:val="22"/>
          <w:szCs w:val="22"/>
        </w:rPr>
        <w:t xml:space="preserve">Om uiteindelijk aan de algemene bedrijfsdoelstelling te kunnen voldoen zullen we per jaar en per scope een </w:t>
      </w:r>
      <w:r w:rsidRPr="0064344F">
        <w:rPr>
          <w:sz w:val="22"/>
          <w:szCs w:val="22"/>
        </w:rPr>
        <w:t xml:space="preserve">reductiedoelstelling formuleren. </w:t>
      </w:r>
    </w:p>
    <w:p w14:paraId="2D02EA4D" w14:textId="77777777" w:rsidR="00EF392A" w:rsidRPr="0064344F" w:rsidRDefault="00EF392A" w:rsidP="00EF392A">
      <w:pPr>
        <w:rPr>
          <w:sz w:val="22"/>
          <w:szCs w:val="22"/>
        </w:rPr>
      </w:pPr>
    </w:p>
    <w:p w14:paraId="63E354BA" w14:textId="77777777" w:rsidR="00EF392A" w:rsidRPr="0064344F" w:rsidRDefault="00EF392A" w:rsidP="00EF392A">
      <w:pPr>
        <w:rPr>
          <w:sz w:val="22"/>
          <w:szCs w:val="22"/>
        </w:rPr>
      </w:pPr>
      <w:r w:rsidRPr="0064344F">
        <w:rPr>
          <w:sz w:val="22"/>
          <w:szCs w:val="22"/>
        </w:rPr>
        <w:t>De reductiedoelstelling voor scope 1 is</w:t>
      </w:r>
      <w:r w:rsidR="0064344F" w:rsidRPr="0064344F">
        <w:rPr>
          <w:sz w:val="22"/>
          <w:szCs w:val="22"/>
        </w:rPr>
        <w:t xml:space="preserve"> </w:t>
      </w:r>
      <w:r w:rsidR="002D2333">
        <w:rPr>
          <w:sz w:val="22"/>
          <w:szCs w:val="22"/>
        </w:rPr>
        <w:t>1</w:t>
      </w:r>
      <w:r w:rsidR="0064344F" w:rsidRPr="0064344F">
        <w:rPr>
          <w:sz w:val="22"/>
          <w:szCs w:val="22"/>
        </w:rPr>
        <w:t>,</w:t>
      </w:r>
      <w:r w:rsidR="00257FCB">
        <w:rPr>
          <w:sz w:val="22"/>
          <w:szCs w:val="22"/>
        </w:rPr>
        <w:t>2</w:t>
      </w:r>
      <w:r w:rsidRPr="0064344F">
        <w:rPr>
          <w:sz w:val="22"/>
          <w:szCs w:val="22"/>
        </w:rPr>
        <w:t>%</w:t>
      </w:r>
      <w:r w:rsidR="007D180C">
        <w:rPr>
          <w:sz w:val="22"/>
          <w:szCs w:val="22"/>
        </w:rPr>
        <w:t xml:space="preserve"> per jaar</w:t>
      </w:r>
      <w:r w:rsidR="002D2333">
        <w:rPr>
          <w:sz w:val="22"/>
          <w:szCs w:val="22"/>
        </w:rPr>
        <w:t>*</w:t>
      </w:r>
      <w:r w:rsidRPr="0064344F">
        <w:rPr>
          <w:sz w:val="22"/>
          <w:szCs w:val="22"/>
        </w:rPr>
        <w:t>. Deze reductiedoelstelling heeft betrekking op de meest materiële emissies:</w:t>
      </w:r>
    </w:p>
    <w:p w14:paraId="23364BB9" w14:textId="77777777" w:rsidR="00EF392A" w:rsidRPr="0064344F" w:rsidRDefault="0064344F" w:rsidP="00EF392A">
      <w:pPr>
        <w:pStyle w:val="Lijstalinea"/>
        <w:numPr>
          <w:ilvl w:val="0"/>
          <w:numId w:val="9"/>
        </w:numPr>
      </w:pPr>
      <w:r>
        <w:t>D</w:t>
      </w:r>
      <w:r w:rsidRPr="0064344F">
        <w:t>iesel</w:t>
      </w:r>
      <w:r>
        <w:t>verbruik</w:t>
      </w:r>
      <w:r w:rsidR="00EF392A" w:rsidRPr="0064344F">
        <w:t>.</w:t>
      </w:r>
    </w:p>
    <w:p w14:paraId="7503BE1D" w14:textId="77777777" w:rsidR="00EF392A" w:rsidRPr="0064344F" w:rsidRDefault="00EF392A" w:rsidP="00EF392A">
      <w:pPr>
        <w:rPr>
          <w:sz w:val="22"/>
          <w:szCs w:val="22"/>
        </w:rPr>
      </w:pPr>
      <w:r w:rsidRPr="0064344F">
        <w:rPr>
          <w:sz w:val="22"/>
          <w:szCs w:val="22"/>
        </w:rPr>
        <w:t>De reductiedoelstelling voor scope 2 is</w:t>
      </w:r>
      <w:r w:rsidR="0064344F">
        <w:rPr>
          <w:sz w:val="22"/>
          <w:szCs w:val="22"/>
        </w:rPr>
        <w:t xml:space="preserve"> </w:t>
      </w:r>
      <w:r w:rsidR="002D2333">
        <w:rPr>
          <w:sz w:val="22"/>
          <w:szCs w:val="22"/>
        </w:rPr>
        <w:t>1</w:t>
      </w:r>
      <w:r w:rsidR="0064344F">
        <w:rPr>
          <w:sz w:val="22"/>
          <w:szCs w:val="22"/>
        </w:rPr>
        <w:t>,</w:t>
      </w:r>
      <w:r w:rsidR="00257FCB">
        <w:rPr>
          <w:sz w:val="22"/>
          <w:szCs w:val="22"/>
        </w:rPr>
        <w:t xml:space="preserve">2 </w:t>
      </w:r>
      <w:r w:rsidRPr="0064344F">
        <w:rPr>
          <w:sz w:val="22"/>
          <w:szCs w:val="22"/>
        </w:rPr>
        <w:t>%</w:t>
      </w:r>
      <w:r w:rsidR="007D180C">
        <w:rPr>
          <w:sz w:val="22"/>
          <w:szCs w:val="22"/>
        </w:rPr>
        <w:t xml:space="preserve"> per jaar</w:t>
      </w:r>
      <w:r w:rsidR="002D2333">
        <w:rPr>
          <w:sz w:val="22"/>
          <w:szCs w:val="22"/>
        </w:rPr>
        <w:t>*</w:t>
      </w:r>
      <w:r w:rsidRPr="0064344F">
        <w:rPr>
          <w:sz w:val="22"/>
          <w:szCs w:val="22"/>
        </w:rPr>
        <w:t>. Deze reductiedoelstelling heeft betrekking op de meest materiële emissies:</w:t>
      </w:r>
    </w:p>
    <w:p w14:paraId="2BA14A6F" w14:textId="77777777" w:rsidR="00EF392A" w:rsidRPr="009B591A" w:rsidRDefault="00EF392A" w:rsidP="00EF392A">
      <w:pPr>
        <w:pStyle w:val="Lijstalinea"/>
        <w:numPr>
          <w:ilvl w:val="0"/>
          <w:numId w:val="9"/>
        </w:numPr>
      </w:pPr>
      <w:r w:rsidRPr="009B591A">
        <w:t>Elektriciteitsverbruik.</w:t>
      </w:r>
    </w:p>
    <w:p w14:paraId="65B14D61" w14:textId="77777777" w:rsidR="003F4302" w:rsidRDefault="002D2333" w:rsidP="002D2333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48734C">
        <w:rPr>
          <w:sz w:val="18"/>
          <w:szCs w:val="18"/>
        </w:rPr>
        <w:t xml:space="preserve">Er vindt </w:t>
      </w:r>
      <w:r w:rsidR="003F4302" w:rsidRPr="002D2333">
        <w:rPr>
          <w:sz w:val="18"/>
          <w:szCs w:val="18"/>
        </w:rPr>
        <w:t xml:space="preserve">normalisering </w:t>
      </w:r>
      <w:r w:rsidR="0048734C">
        <w:rPr>
          <w:sz w:val="18"/>
          <w:szCs w:val="18"/>
        </w:rPr>
        <w:t xml:space="preserve">plaats a.d.h.v. </w:t>
      </w:r>
      <w:r w:rsidR="003F4302" w:rsidRPr="002D2333">
        <w:rPr>
          <w:sz w:val="18"/>
          <w:szCs w:val="18"/>
        </w:rPr>
        <w:t>omzetpercentage</w:t>
      </w:r>
    </w:p>
    <w:p w14:paraId="5DF25FE6" w14:textId="77777777" w:rsidR="00FF488C" w:rsidRPr="002D2333" w:rsidRDefault="00FF488C" w:rsidP="002D2333">
      <w:pPr>
        <w:rPr>
          <w:sz w:val="18"/>
          <w:szCs w:val="18"/>
        </w:rPr>
      </w:pPr>
    </w:p>
    <w:tbl>
      <w:tblPr>
        <w:tblStyle w:val="Tabelraster"/>
        <w:tblW w:w="8755" w:type="dxa"/>
        <w:tblLook w:val="04A0" w:firstRow="1" w:lastRow="0" w:firstColumn="1" w:lastColumn="0" w:noHBand="0" w:noVBand="1"/>
      </w:tblPr>
      <w:tblGrid>
        <w:gridCol w:w="1117"/>
        <w:gridCol w:w="997"/>
        <w:gridCol w:w="1217"/>
        <w:gridCol w:w="1217"/>
        <w:gridCol w:w="1380"/>
        <w:gridCol w:w="1380"/>
        <w:gridCol w:w="1447"/>
      </w:tblGrid>
      <w:tr w:rsidR="003F4302" w14:paraId="0CF81A27" w14:textId="77777777" w:rsidTr="00751769">
        <w:tc>
          <w:tcPr>
            <w:tcW w:w="858" w:type="dxa"/>
          </w:tcPr>
          <w:p w14:paraId="3655D658" w14:textId="77777777" w:rsidR="003F4302" w:rsidRDefault="003F4302" w:rsidP="00751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160CB501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</w:p>
          <w:p w14:paraId="0088A256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EE303A">
              <w:rPr>
                <w:b/>
                <w:sz w:val="18"/>
                <w:szCs w:val="18"/>
              </w:rPr>
              <w:t>6</w:t>
            </w:r>
          </w:p>
          <w:p w14:paraId="14C86ED9" w14:textId="77777777" w:rsidR="003F4302" w:rsidRPr="00C9743E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basisjaar</w:t>
            </w:r>
          </w:p>
        </w:tc>
        <w:tc>
          <w:tcPr>
            <w:tcW w:w="1051" w:type="dxa"/>
          </w:tcPr>
          <w:p w14:paraId="685137BF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</w:p>
          <w:p w14:paraId="0ED49995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EE303A">
              <w:rPr>
                <w:b/>
                <w:sz w:val="18"/>
                <w:szCs w:val="18"/>
              </w:rPr>
              <w:t>7</w:t>
            </w:r>
          </w:p>
          <w:p w14:paraId="0D14963D" w14:textId="77777777" w:rsidR="00E5141A" w:rsidRDefault="00E5141A" w:rsidP="00E514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Reductie-doelstelling t.o.v. basisjaar</w:t>
            </w:r>
          </w:p>
          <w:p w14:paraId="69D462F9" w14:textId="77777777" w:rsidR="00E5141A" w:rsidRPr="00C9743E" w:rsidRDefault="00E5141A" w:rsidP="00E514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EB294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="00EB294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1030" w:type="dxa"/>
          </w:tcPr>
          <w:p w14:paraId="13E5C8DF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</w:p>
          <w:p w14:paraId="7157C164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EE303A">
              <w:rPr>
                <w:b/>
                <w:sz w:val="18"/>
                <w:szCs w:val="18"/>
              </w:rPr>
              <w:t>8</w:t>
            </w:r>
          </w:p>
          <w:p w14:paraId="4EA303E0" w14:textId="77777777" w:rsidR="00E5141A" w:rsidRDefault="00E5141A" w:rsidP="00E514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Reductie-doelstelling t.o.v. basisjaar</w:t>
            </w:r>
          </w:p>
          <w:p w14:paraId="5ED88D9A" w14:textId="77777777" w:rsidR="00E5141A" w:rsidRPr="00C9743E" w:rsidRDefault="00E5141A" w:rsidP="00E514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48734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</w:t>
            </w:r>
            <w:r w:rsidR="0048734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1559" w:type="dxa"/>
          </w:tcPr>
          <w:p w14:paraId="34BD35FF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</w:p>
          <w:p w14:paraId="59CD4470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 w:rsidRPr="00C9743E">
              <w:rPr>
                <w:b/>
                <w:sz w:val="18"/>
                <w:szCs w:val="18"/>
              </w:rPr>
              <w:t>201</w:t>
            </w:r>
            <w:r w:rsidR="00EE303A">
              <w:rPr>
                <w:b/>
                <w:sz w:val="18"/>
                <w:szCs w:val="18"/>
              </w:rPr>
              <w:t>9</w:t>
            </w:r>
          </w:p>
          <w:p w14:paraId="32C75D7F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Reductie-doelstelling t.o.v. basisjaar</w:t>
            </w:r>
          </w:p>
          <w:p w14:paraId="255A9EB1" w14:textId="77777777" w:rsidR="003F4302" w:rsidRPr="00C9743E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48734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</w:t>
            </w:r>
            <w:r w:rsidR="0048734C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1559" w:type="dxa"/>
          </w:tcPr>
          <w:p w14:paraId="20869FB4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</w:p>
          <w:p w14:paraId="67A98718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 w:rsidRPr="00C9743E">
              <w:rPr>
                <w:b/>
                <w:sz w:val="18"/>
                <w:szCs w:val="18"/>
              </w:rPr>
              <w:t>20</w:t>
            </w:r>
            <w:r w:rsidR="00EE303A">
              <w:rPr>
                <w:b/>
                <w:sz w:val="18"/>
                <w:szCs w:val="18"/>
              </w:rPr>
              <w:t>20</w:t>
            </w:r>
          </w:p>
          <w:p w14:paraId="6DB0813A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Reductie-doelstelling t.o.v. basisjaar</w:t>
            </w:r>
          </w:p>
          <w:p w14:paraId="275A8249" w14:textId="77777777" w:rsidR="003F4302" w:rsidRPr="00C9743E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48734C">
              <w:rPr>
                <w:b/>
                <w:sz w:val="18"/>
                <w:szCs w:val="18"/>
              </w:rPr>
              <w:t>4,8</w:t>
            </w:r>
            <w:r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1701" w:type="dxa"/>
          </w:tcPr>
          <w:p w14:paraId="5644F9DE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</w:p>
          <w:p w14:paraId="2F32A133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 w:rsidRPr="00C9743E">
              <w:rPr>
                <w:b/>
                <w:sz w:val="18"/>
                <w:szCs w:val="18"/>
              </w:rPr>
              <w:t>20</w:t>
            </w:r>
            <w:r w:rsidR="00EE303A">
              <w:rPr>
                <w:b/>
                <w:sz w:val="18"/>
                <w:szCs w:val="18"/>
              </w:rPr>
              <w:t>2</w:t>
            </w:r>
            <w:r w:rsidRPr="00C9743E">
              <w:rPr>
                <w:b/>
                <w:sz w:val="18"/>
                <w:szCs w:val="18"/>
              </w:rPr>
              <w:t>1</w:t>
            </w:r>
          </w:p>
          <w:p w14:paraId="445EFC6A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Reductie-doelstelling t.o.v. basisjaar</w:t>
            </w:r>
          </w:p>
          <w:p w14:paraId="0B065503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48734C">
              <w:rPr>
                <w:b/>
                <w:sz w:val="18"/>
                <w:szCs w:val="18"/>
              </w:rPr>
              <w:t>6,0</w:t>
            </w:r>
            <w:r>
              <w:rPr>
                <w:b/>
                <w:sz w:val="18"/>
                <w:szCs w:val="18"/>
              </w:rPr>
              <w:t>%)</w:t>
            </w:r>
          </w:p>
        </w:tc>
      </w:tr>
      <w:tr w:rsidR="003F4302" w14:paraId="5B7F7E32" w14:textId="77777777" w:rsidTr="00751769">
        <w:tc>
          <w:tcPr>
            <w:tcW w:w="858" w:type="dxa"/>
          </w:tcPr>
          <w:p w14:paraId="250FF747" w14:textId="77777777" w:rsidR="003F4302" w:rsidRDefault="003F4302" w:rsidP="00751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Omzet-</w:t>
            </w:r>
            <w:r>
              <w:rPr>
                <w:sz w:val="18"/>
                <w:szCs w:val="18"/>
              </w:rPr>
              <w:br/>
              <w:t>percentage</w:t>
            </w:r>
          </w:p>
        </w:tc>
        <w:tc>
          <w:tcPr>
            <w:tcW w:w="997" w:type="dxa"/>
          </w:tcPr>
          <w:p w14:paraId="708E1F9A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</w:p>
          <w:p w14:paraId="175F5BB9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051" w:type="dxa"/>
          </w:tcPr>
          <w:p w14:paraId="404E7697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</w:p>
          <w:p w14:paraId="1D28430B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E5141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30" w:type="dxa"/>
          </w:tcPr>
          <w:p w14:paraId="2CA0BBB6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</w:p>
          <w:p w14:paraId="2D4E103B" w14:textId="77777777" w:rsidR="003F4302" w:rsidRDefault="003F4302" w:rsidP="003F4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E5141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14:paraId="26D17C7B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</w:p>
          <w:p w14:paraId="4DA13461" w14:textId="77777777" w:rsidR="003F4302" w:rsidRDefault="003F4302" w:rsidP="003F4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E5141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14:paraId="3C6341D5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</w:p>
          <w:p w14:paraId="46E164FD" w14:textId="77777777" w:rsidR="003F4302" w:rsidRDefault="003F4302" w:rsidP="003F4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E5141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14:paraId="4FEC2B3B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</w:p>
          <w:p w14:paraId="324350CC" w14:textId="77777777" w:rsidR="003F4302" w:rsidRDefault="003F4302" w:rsidP="003F4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E5141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%</w:t>
            </w:r>
          </w:p>
        </w:tc>
      </w:tr>
      <w:tr w:rsidR="003F4302" w14:paraId="78B741D0" w14:textId="77777777" w:rsidTr="00751769">
        <w:tc>
          <w:tcPr>
            <w:tcW w:w="858" w:type="dxa"/>
          </w:tcPr>
          <w:p w14:paraId="45192712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</w:p>
          <w:p w14:paraId="70FCAE62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 w:rsidRPr="00C9743E">
              <w:rPr>
                <w:b/>
                <w:sz w:val="18"/>
                <w:szCs w:val="18"/>
              </w:rPr>
              <w:t>Scope 1</w:t>
            </w:r>
          </w:p>
          <w:p w14:paraId="28BAE56E" w14:textId="77777777" w:rsidR="003F4302" w:rsidRPr="00C9743E" w:rsidRDefault="003F4302" w:rsidP="007517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2500824E" w14:textId="77777777" w:rsidR="003F4302" w:rsidRDefault="003F4302" w:rsidP="00751769">
            <w:pPr>
              <w:jc w:val="center"/>
              <w:rPr>
                <w:sz w:val="18"/>
                <w:szCs w:val="18"/>
              </w:rPr>
            </w:pPr>
          </w:p>
          <w:p w14:paraId="1F93BFE8" w14:textId="77777777" w:rsidR="003F4302" w:rsidRDefault="00E5141A" w:rsidP="003F4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="003F43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14:paraId="0235EB65" w14:textId="77777777" w:rsidR="003F4302" w:rsidRDefault="003F4302" w:rsidP="00751769">
            <w:pPr>
              <w:jc w:val="center"/>
              <w:rPr>
                <w:sz w:val="18"/>
                <w:szCs w:val="18"/>
              </w:rPr>
            </w:pPr>
          </w:p>
          <w:p w14:paraId="69943970" w14:textId="77777777" w:rsidR="003F4302" w:rsidRDefault="00E5141A" w:rsidP="003F4302">
            <w:pPr>
              <w:jc w:val="center"/>
              <w:rPr>
                <w:sz w:val="18"/>
                <w:szCs w:val="18"/>
              </w:rPr>
            </w:pPr>
            <w:r w:rsidRPr="00E5141A">
              <w:rPr>
                <w:sz w:val="18"/>
                <w:szCs w:val="18"/>
              </w:rPr>
              <w:t>92,</w:t>
            </w:r>
            <w:r w:rsidR="0048734C">
              <w:rPr>
                <w:sz w:val="18"/>
                <w:szCs w:val="18"/>
              </w:rPr>
              <w:t>1</w:t>
            </w:r>
          </w:p>
        </w:tc>
        <w:tc>
          <w:tcPr>
            <w:tcW w:w="1030" w:type="dxa"/>
          </w:tcPr>
          <w:p w14:paraId="766C5CEC" w14:textId="77777777" w:rsidR="003F4302" w:rsidRDefault="003F4302" w:rsidP="00751769">
            <w:pPr>
              <w:jc w:val="center"/>
              <w:rPr>
                <w:sz w:val="18"/>
                <w:szCs w:val="18"/>
              </w:rPr>
            </w:pPr>
          </w:p>
          <w:p w14:paraId="3635B568" w14:textId="77777777" w:rsidR="003F4302" w:rsidRDefault="00E5141A" w:rsidP="00751769">
            <w:pPr>
              <w:jc w:val="center"/>
              <w:rPr>
                <w:sz w:val="18"/>
                <w:szCs w:val="18"/>
              </w:rPr>
            </w:pPr>
            <w:r w:rsidRPr="00E5141A">
              <w:rPr>
                <w:sz w:val="18"/>
                <w:szCs w:val="18"/>
              </w:rPr>
              <w:t>9</w:t>
            </w:r>
            <w:r w:rsidR="0048734C">
              <w:rPr>
                <w:sz w:val="18"/>
                <w:szCs w:val="18"/>
              </w:rPr>
              <w:t>0</w:t>
            </w:r>
            <w:r w:rsidRPr="00E5141A">
              <w:rPr>
                <w:sz w:val="18"/>
                <w:szCs w:val="18"/>
              </w:rPr>
              <w:t>,</w:t>
            </w:r>
            <w:r w:rsidR="0048734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57D315F" w14:textId="77777777" w:rsidR="003F4302" w:rsidRDefault="003F4302" w:rsidP="00751769">
            <w:pPr>
              <w:jc w:val="center"/>
              <w:rPr>
                <w:sz w:val="18"/>
                <w:szCs w:val="18"/>
              </w:rPr>
            </w:pPr>
          </w:p>
          <w:p w14:paraId="6EDBD423" w14:textId="77777777" w:rsidR="003F4302" w:rsidRDefault="00D97A0E" w:rsidP="003F4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89.8</w:t>
            </w:r>
          </w:p>
        </w:tc>
        <w:tc>
          <w:tcPr>
            <w:tcW w:w="1559" w:type="dxa"/>
          </w:tcPr>
          <w:p w14:paraId="02663FA0" w14:textId="77777777" w:rsidR="003F4302" w:rsidRDefault="003F4302" w:rsidP="00751769">
            <w:pPr>
              <w:jc w:val="center"/>
              <w:rPr>
                <w:sz w:val="18"/>
                <w:szCs w:val="18"/>
              </w:rPr>
            </w:pPr>
          </w:p>
          <w:p w14:paraId="27A388CF" w14:textId="77777777" w:rsidR="003F4302" w:rsidRDefault="00D97A0E" w:rsidP="003F4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1701" w:type="dxa"/>
          </w:tcPr>
          <w:p w14:paraId="47C44312" w14:textId="77777777" w:rsidR="003F4302" w:rsidRDefault="003F4302" w:rsidP="00751769">
            <w:pPr>
              <w:jc w:val="center"/>
              <w:rPr>
                <w:sz w:val="18"/>
                <w:szCs w:val="18"/>
              </w:rPr>
            </w:pPr>
          </w:p>
          <w:p w14:paraId="4F4DDA29" w14:textId="77777777" w:rsidR="003F4302" w:rsidRDefault="00A64E3D" w:rsidP="00751769">
            <w:pPr>
              <w:jc w:val="center"/>
              <w:rPr>
                <w:sz w:val="18"/>
                <w:szCs w:val="18"/>
              </w:rPr>
            </w:pPr>
            <w:r w:rsidRPr="00A64E3D">
              <w:rPr>
                <w:sz w:val="18"/>
                <w:szCs w:val="18"/>
              </w:rPr>
              <w:t>8</w:t>
            </w:r>
            <w:r w:rsidR="0048734C">
              <w:rPr>
                <w:sz w:val="18"/>
                <w:szCs w:val="18"/>
              </w:rPr>
              <w:t>7</w:t>
            </w:r>
            <w:r w:rsidRPr="00A64E3D">
              <w:rPr>
                <w:sz w:val="18"/>
                <w:szCs w:val="18"/>
              </w:rPr>
              <w:t>,</w:t>
            </w:r>
            <w:r w:rsidR="0048734C">
              <w:rPr>
                <w:sz w:val="18"/>
                <w:szCs w:val="18"/>
              </w:rPr>
              <w:t>6</w:t>
            </w:r>
          </w:p>
        </w:tc>
      </w:tr>
      <w:tr w:rsidR="003F4302" w14:paraId="7EF706F7" w14:textId="77777777" w:rsidTr="00751769">
        <w:tc>
          <w:tcPr>
            <w:tcW w:w="858" w:type="dxa"/>
          </w:tcPr>
          <w:p w14:paraId="2964D07C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</w:p>
          <w:p w14:paraId="1B9EEBB5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 w:rsidRPr="00C9743E">
              <w:rPr>
                <w:b/>
                <w:sz w:val="18"/>
                <w:szCs w:val="18"/>
              </w:rPr>
              <w:t>Scope 2</w:t>
            </w:r>
          </w:p>
          <w:p w14:paraId="3AC53D3F" w14:textId="77777777" w:rsidR="003F4302" w:rsidRPr="00C9743E" w:rsidRDefault="003F4302" w:rsidP="007517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3BCB6018" w14:textId="77777777" w:rsidR="003F4302" w:rsidRDefault="003F4302" w:rsidP="00751769">
            <w:pPr>
              <w:jc w:val="center"/>
              <w:rPr>
                <w:sz w:val="18"/>
                <w:szCs w:val="18"/>
              </w:rPr>
            </w:pPr>
          </w:p>
          <w:p w14:paraId="04325A21" w14:textId="77777777" w:rsidR="003F4302" w:rsidRDefault="00E5141A" w:rsidP="00751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F43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51" w:type="dxa"/>
          </w:tcPr>
          <w:p w14:paraId="1AB85C90" w14:textId="77777777" w:rsidR="003F4302" w:rsidRDefault="003F4302" w:rsidP="00751769">
            <w:pPr>
              <w:jc w:val="center"/>
              <w:rPr>
                <w:sz w:val="18"/>
                <w:szCs w:val="18"/>
              </w:rPr>
            </w:pPr>
          </w:p>
          <w:p w14:paraId="2DC3B91C" w14:textId="77777777" w:rsidR="003F4302" w:rsidRDefault="00E5141A" w:rsidP="00751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F4302">
              <w:rPr>
                <w:sz w:val="18"/>
                <w:szCs w:val="18"/>
              </w:rPr>
              <w:t>,</w:t>
            </w:r>
            <w:r w:rsidR="0048734C">
              <w:rPr>
                <w:sz w:val="18"/>
                <w:szCs w:val="18"/>
              </w:rPr>
              <w:t>5</w:t>
            </w:r>
          </w:p>
        </w:tc>
        <w:tc>
          <w:tcPr>
            <w:tcW w:w="1030" w:type="dxa"/>
          </w:tcPr>
          <w:p w14:paraId="48A134DF" w14:textId="77777777" w:rsidR="003F4302" w:rsidRDefault="003F4302" w:rsidP="00751769">
            <w:pPr>
              <w:jc w:val="center"/>
              <w:rPr>
                <w:sz w:val="18"/>
                <w:szCs w:val="18"/>
              </w:rPr>
            </w:pPr>
          </w:p>
          <w:p w14:paraId="6B7636B6" w14:textId="77777777" w:rsidR="003F4302" w:rsidRDefault="00E5141A" w:rsidP="003F4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F43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311DCCF1" w14:textId="77777777" w:rsidR="003F4302" w:rsidRDefault="003F4302" w:rsidP="00751769">
            <w:pPr>
              <w:jc w:val="center"/>
              <w:rPr>
                <w:sz w:val="18"/>
                <w:szCs w:val="18"/>
              </w:rPr>
            </w:pPr>
          </w:p>
          <w:p w14:paraId="5F4C17E2" w14:textId="77777777" w:rsidR="003F4302" w:rsidRDefault="00E5141A" w:rsidP="00751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F4302">
              <w:rPr>
                <w:sz w:val="18"/>
                <w:szCs w:val="18"/>
              </w:rPr>
              <w:t>,</w:t>
            </w:r>
            <w:r w:rsidR="0048734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053D2D3F" w14:textId="77777777" w:rsidR="003F4302" w:rsidRDefault="003F4302" w:rsidP="00751769">
            <w:pPr>
              <w:jc w:val="center"/>
              <w:rPr>
                <w:sz w:val="18"/>
                <w:szCs w:val="18"/>
              </w:rPr>
            </w:pPr>
          </w:p>
          <w:p w14:paraId="16FD6BD5" w14:textId="77777777" w:rsidR="003F4302" w:rsidRDefault="00E5141A" w:rsidP="00751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F4302">
              <w:rPr>
                <w:sz w:val="18"/>
                <w:szCs w:val="18"/>
              </w:rPr>
              <w:t>,</w:t>
            </w:r>
            <w:r w:rsidR="0048734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31E88B9" w14:textId="77777777" w:rsidR="003F4302" w:rsidRDefault="003F4302" w:rsidP="00751769">
            <w:pPr>
              <w:jc w:val="center"/>
              <w:rPr>
                <w:sz w:val="18"/>
                <w:szCs w:val="18"/>
              </w:rPr>
            </w:pPr>
          </w:p>
          <w:p w14:paraId="156FD97B" w14:textId="77777777" w:rsidR="003F4302" w:rsidRDefault="00E5141A" w:rsidP="003F4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F4302">
              <w:rPr>
                <w:sz w:val="18"/>
                <w:szCs w:val="18"/>
              </w:rPr>
              <w:t>,</w:t>
            </w:r>
            <w:r w:rsidR="0048734C">
              <w:rPr>
                <w:sz w:val="18"/>
                <w:szCs w:val="18"/>
              </w:rPr>
              <w:t>3</w:t>
            </w:r>
          </w:p>
        </w:tc>
      </w:tr>
      <w:tr w:rsidR="003F4302" w14:paraId="473190EE" w14:textId="77777777" w:rsidTr="00751769">
        <w:tc>
          <w:tcPr>
            <w:tcW w:w="858" w:type="dxa"/>
          </w:tcPr>
          <w:p w14:paraId="65D33647" w14:textId="77777777" w:rsidR="003F4302" w:rsidRDefault="003F4302" w:rsidP="00751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Totaal</w:t>
            </w:r>
          </w:p>
          <w:p w14:paraId="72D62811" w14:textId="77777777" w:rsidR="00693E71" w:rsidRDefault="00693E71" w:rsidP="007517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1CCC120F" w14:textId="77777777" w:rsidR="003F4302" w:rsidRDefault="00E5141A" w:rsidP="003F4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3F43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51" w:type="dxa"/>
          </w:tcPr>
          <w:p w14:paraId="5BDD82EB" w14:textId="77777777" w:rsidR="003F4302" w:rsidRDefault="00E5141A" w:rsidP="003F4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8734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48734C">
              <w:rPr>
                <w:sz w:val="18"/>
                <w:szCs w:val="18"/>
              </w:rPr>
              <w:t>6</w:t>
            </w:r>
          </w:p>
        </w:tc>
        <w:tc>
          <w:tcPr>
            <w:tcW w:w="1030" w:type="dxa"/>
          </w:tcPr>
          <w:p w14:paraId="5BF4576C" w14:textId="77777777" w:rsidR="003F4302" w:rsidRDefault="00E5141A" w:rsidP="00751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97A0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D97A0E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47CAB335" w14:textId="77777777" w:rsidR="003F4302" w:rsidRDefault="00D97A0E" w:rsidP="00751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1559" w:type="dxa"/>
          </w:tcPr>
          <w:p w14:paraId="4649E473" w14:textId="77777777" w:rsidR="003F4302" w:rsidRDefault="00D97A0E" w:rsidP="003F4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93.1</w:t>
            </w:r>
          </w:p>
        </w:tc>
        <w:tc>
          <w:tcPr>
            <w:tcW w:w="1701" w:type="dxa"/>
          </w:tcPr>
          <w:p w14:paraId="1BCDF4B5" w14:textId="77777777" w:rsidR="003F4302" w:rsidRDefault="00E5141A" w:rsidP="003F4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97A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,9</w:t>
            </w:r>
          </w:p>
        </w:tc>
      </w:tr>
    </w:tbl>
    <w:p w14:paraId="5391D7BF" w14:textId="77777777" w:rsidR="003F4302" w:rsidRPr="007A2436" w:rsidRDefault="003F4302" w:rsidP="003F4302">
      <w:pPr>
        <w:rPr>
          <w:sz w:val="18"/>
          <w:szCs w:val="18"/>
        </w:rPr>
      </w:pPr>
    </w:p>
    <w:p w14:paraId="1D0E99B3" w14:textId="77777777" w:rsidR="00EF392A" w:rsidRDefault="00EF392A">
      <w:pPr>
        <w:rPr>
          <w:sz w:val="22"/>
          <w:szCs w:val="22"/>
        </w:rPr>
      </w:pPr>
    </w:p>
    <w:p w14:paraId="542B1D4D" w14:textId="77777777" w:rsidR="00EF392A" w:rsidRPr="00EF78CD" w:rsidRDefault="00BE1EEC" w:rsidP="002C6463">
      <w:pPr>
        <w:pStyle w:val="Kop1"/>
      </w:pPr>
      <w:bookmarkStart w:id="6" w:name="_Toc485194649"/>
      <w:r w:rsidRPr="00EF78CD">
        <w:t>4</w:t>
      </w:r>
      <w:r w:rsidR="00EF392A" w:rsidRPr="00EF78CD">
        <w:t>.</w:t>
      </w:r>
      <w:r w:rsidRPr="00EF78CD">
        <w:tab/>
      </w:r>
      <w:r w:rsidR="00EF392A" w:rsidRPr="00EF78CD">
        <w:t xml:space="preserve">Plan van </w:t>
      </w:r>
      <w:r w:rsidR="000A72F8" w:rsidRPr="00EF78CD">
        <w:t>A</w:t>
      </w:r>
      <w:r w:rsidR="00EF392A" w:rsidRPr="00EF78CD">
        <w:t>anpak</w:t>
      </w:r>
      <w:bookmarkEnd w:id="6"/>
    </w:p>
    <w:p w14:paraId="150FF26F" w14:textId="77777777" w:rsidR="00EF392A" w:rsidRPr="009B591A" w:rsidRDefault="00BE1EEC" w:rsidP="00EF392A">
      <w:pPr>
        <w:pStyle w:val="Kop2"/>
        <w:rPr>
          <w:sz w:val="22"/>
        </w:rPr>
      </w:pPr>
      <w:bookmarkStart w:id="7" w:name="_Toc485194650"/>
      <w:r w:rsidRPr="009B591A">
        <w:rPr>
          <w:sz w:val="22"/>
        </w:rPr>
        <w:t>4</w:t>
      </w:r>
      <w:r w:rsidR="00EF392A" w:rsidRPr="009B591A">
        <w:rPr>
          <w:sz w:val="22"/>
        </w:rPr>
        <w:t>.1</w:t>
      </w:r>
      <w:r w:rsidR="00EF392A" w:rsidRPr="009B591A">
        <w:rPr>
          <w:sz w:val="22"/>
        </w:rPr>
        <w:tab/>
        <w:t>Maatregelen scope 1</w:t>
      </w:r>
      <w:bookmarkEnd w:id="7"/>
    </w:p>
    <w:p w14:paraId="1FD44F8A" w14:textId="77777777" w:rsidR="00EF392A" w:rsidRPr="009B591A" w:rsidRDefault="00EF392A" w:rsidP="00EF392A">
      <w:pPr>
        <w:rPr>
          <w:sz w:val="22"/>
        </w:rPr>
      </w:pPr>
    </w:p>
    <w:p w14:paraId="2EFC11FD" w14:textId="77777777" w:rsidR="00EF392A" w:rsidRPr="009B591A" w:rsidRDefault="00EF392A" w:rsidP="00EF392A">
      <w:pPr>
        <w:rPr>
          <w:sz w:val="22"/>
        </w:rPr>
      </w:pPr>
      <w:r w:rsidRPr="009B591A">
        <w:rPr>
          <w:sz w:val="22"/>
        </w:rPr>
        <w:t>Om te kunnen voldoen aan de reductiedoelstelling voor</w:t>
      </w:r>
      <w:r w:rsidR="0064344F">
        <w:rPr>
          <w:sz w:val="22"/>
        </w:rPr>
        <w:t xml:space="preserve"> 201</w:t>
      </w:r>
      <w:r w:rsidR="00FF488C">
        <w:rPr>
          <w:sz w:val="22"/>
        </w:rPr>
        <w:t>8</w:t>
      </w:r>
      <w:r w:rsidRPr="009B591A">
        <w:rPr>
          <w:sz w:val="22"/>
        </w:rPr>
        <w:t xml:space="preserve"> zullen we verschillende maatregelen gaan nemen.</w:t>
      </w:r>
    </w:p>
    <w:p w14:paraId="174ADADF" w14:textId="77777777" w:rsidR="00EF392A" w:rsidRDefault="00EF392A" w:rsidP="00EF392A">
      <w:pPr>
        <w:rPr>
          <w:sz w:val="22"/>
        </w:rPr>
      </w:pPr>
    </w:p>
    <w:p w14:paraId="2DBB6D30" w14:textId="77777777" w:rsidR="00693E71" w:rsidRPr="009B591A" w:rsidRDefault="00693E71" w:rsidP="00EF392A">
      <w:pPr>
        <w:rPr>
          <w:sz w:val="22"/>
        </w:rPr>
      </w:pPr>
    </w:p>
    <w:p w14:paraId="0A588B8E" w14:textId="77777777" w:rsidR="0064344F" w:rsidRPr="00EF392A" w:rsidRDefault="0064344F" w:rsidP="0064344F">
      <w:pPr>
        <w:rPr>
          <w:u w:val="single"/>
        </w:rPr>
      </w:pPr>
      <w:r>
        <w:rPr>
          <w:u w:val="single"/>
        </w:rPr>
        <w:t>1.</w:t>
      </w:r>
      <w:r>
        <w:rPr>
          <w:u w:val="single"/>
        </w:rPr>
        <w:tab/>
      </w:r>
      <w:r w:rsidRPr="00EF392A">
        <w:rPr>
          <w:u w:val="single"/>
        </w:rPr>
        <w:t xml:space="preserve">Duurzamer </w:t>
      </w:r>
      <w:r w:rsidR="00D97A0E">
        <w:rPr>
          <w:u w:val="single"/>
        </w:rPr>
        <w:t xml:space="preserve">wagen- en </w:t>
      </w:r>
      <w:r w:rsidRPr="00EF392A">
        <w:rPr>
          <w:u w:val="single"/>
        </w:rPr>
        <w:t>machinepark</w:t>
      </w:r>
    </w:p>
    <w:p w14:paraId="01EE7425" w14:textId="77777777" w:rsidR="0064344F" w:rsidRDefault="0064344F" w:rsidP="0064344F">
      <w:pPr>
        <w:ind w:left="705" w:hanging="705"/>
      </w:pPr>
    </w:p>
    <w:p w14:paraId="33EA73B4" w14:textId="77777777" w:rsidR="0064344F" w:rsidRDefault="0064344F" w:rsidP="0064344F">
      <w:r>
        <w:t>Deze maatregel heeft betrekking op het reduceren van dieselverbruik.</w:t>
      </w:r>
    </w:p>
    <w:p w14:paraId="44658614" w14:textId="77777777" w:rsidR="0064344F" w:rsidRDefault="0064344F" w:rsidP="0064344F"/>
    <w:p w14:paraId="05D574E7" w14:textId="77777777" w:rsidR="0064344F" w:rsidRDefault="0064344F" w:rsidP="0064344F">
      <w:r>
        <w:t>Wij willen met het ‘groener’ maken van ons inkoopbeleid een CO</w:t>
      </w:r>
      <w:r w:rsidRPr="00EF392A">
        <w:rPr>
          <w:vertAlign w:val="subscript"/>
        </w:rPr>
        <w:t>2</w:t>
      </w:r>
      <w:r>
        <w:t xml:space="preserve">-reductie </w:t>
      </w:r>
      <w:proofErr w:type="spellStart"/>
      <w:r>
        <w:t>bewerk</w:t>
      </w:r>
      <w:r w:rsidR="00FF488C">
        <w:t>-</w:t>
      </w:r>
      <w:r>
        <w:t>stelligen</w:t>
      </w:r>
      <w:proofErr w:type="spellEnd"/>
      <w:r>
        <w:t xml:space="preserve"> door bij de inkoop actief te letten op de verbruiksgegevens bij zowel de machines als de bedrijfswagens. Wij verwachten met deze maatregelen een </w:t>
      </w:r>
      <w:r>
        <w:br/>
        <w:t>CO</w:t>
      </w:r>
      <w:r w:rsidRPr="006E38C6">
        <w:rPr>
          <w:vertAlign w:val="subscript"/>
        </w:rPr>
        <w:t>2</w:t>
      </w:r>
      <w:r>
        <w:t xml:space="preserve">-besparing te halen van </w:t>
      </w:r>
      <w:r w:rsidR="00303FF5">
        <w:t>0,</w:t>
      </w:r>
      <w:r w:rsidR="0048734C">
        <w:t xml:space="preserve">2 </w:t>
      </w:r>
      <w:r>
        <w:t>% in het komende jaar</w:t>
      </w:r>
      <w:r w:rsidRPr="006E38C6">
        <w:t>.</w:t>
      </w:r>
    </w:p>
    <w:p w14:paraId="68F267E8" w14:textId="77777777" w:rsidR="0064344F" w:rsidRDefault="0064344F" w:rsidP="0064344F"/>
    <w:p w14:paraId="36890CA5" w14:textId="77777777" w:rsidR="0064344F" w:rsidRDefault="0064344F" w:rsidP="0064344F">
      <w:r>
        <w:t>De maatregel kost hoogstens extra manuren om verschillende leveranciers en machines qua verbruik te vergelijken.</w:t>
      </w:r>
    </w:p>
    <w:p w14:paraId="42B6D5DB" w14:textId="77777777" w:rsidR="0064344F" w:rsidRDefault="0064344F" w:rsidP="0064344F"/>
    <w:p w14:paraId="7B370A12" w14:textId="77777777" w:rsidR="00693E71" w:rsidRDefault="00693E71" w:rsidP="0064344F"/>
    <w:p w14:paraId="098A5ABD" w14:textId="77777777" w:rsidR="00693E71" w:rsidRDefault="00693E71" w:rsidP="0064344F"/>
    <w:p w14:paraId="1BC7C46D" w14:textId="77777777" w:rsidR="0064344F" w:rsidRPr="006E38C6" w:rsidRDefault="0064344F" w:rsidP="0064344F">
      <w:pPr>
        <w:rPr>
          <w:u w:val="single"/>
        </w:rPr>
      </w:pPr>
      <w:r w:rsidRPr="006E38C6">
        <w:rPr>
          <w:u w:val="single"/>
        </w:rPr>
        <w:lastRenderedPageBreak/>
        <w:t>2.</w:t>
      </w:r>
      <w:r w:rsidRPr="006E38C6">
        <w:rPr>
          <w:u w:val="single"/>
        </w:rPr>
        <w:tab/>
        <w:t>Gedrag op de projecten</w:t>
      </w:r>
    </w:p>
    <w:p w14:paraId="59C7532D" w14:textId="77777777" w:rsidR="0064344F" w:rsidRDefault="0064344F" w:rsidP="0064344F"/>
    <w:p w14:paraId="4ECECD6C" w14:textId="77777777" w:rsidR="0064344F" w:rsidRDefault="0064344F" w:rsidP="0064344F">
      <w:r>
        <w:t>Deze maatregel heeft betrekking op het reduceren van dieselverbruik.</w:t>
      </w:r>
    </w:p>
    <w:p w14:paraId="6EAB8D89" w14:textId="77777777" w:rsidR="0064344F" w:rsidRDefault="0064344F" w:rsidP="0064344F"/>
    <w:p w14:paraId="4661B0CA" w14:textId="77777777" w:rsidR="0064344F" w:rsidRPr="000B64F3" w:rsidRDefault="0064344F" w:rsidP="0064344F">
      <w:r w:rsidRPr="000B64F3">
        <w:t xml:space="preserve">De maatregel betreft het realiseren van een gedragsverandering onder het personeel op de projecten. Voor deze maatregel is gekozen omdat eenieder binnen </w:t>
      </w:r>
      <w:r w:rsidR="00E5141A">
        <w:t>Biesot B.V.</w:t>
      </w:r>
      <w:r w:rsidRPr="000B64F3">
        <w:t xml:space="preserve"> (voornamelijk projectmedewerkers van </w:t>
      </w:r>
      <w:r w:rsidR="00E5141A">
        <w:t>Biesot B.V.</w:t>
      </w:r>
      <w:r w:rsidRPr="000B64F3">
        <w:t>) zijn aandeel moet leveren in CO</w:t>
      </w:r>
      <w:r w:rsidRPr="000B64F3">
        <w:rPr>
          <w:vertAlign w:val="subscript"/>
        </w:rPr>
        <w:t>2</w:t>
      </w:r>
      <w:r w:rsidRPr="000B64F3">
        <w:t>-besparing. Wij verwachten met deze maatregel een CO</w:t>
      </w:r>
      <w:r w:rsidRPr="000B64F3">
        <w:rPr>
          <w:vertAlign w:val="subscript"/>
        </w:rPr>
        <w:t>2</w:t>
      </w:r>
      <w:r w:rsidRPr="000B64F3">
        <w:t xml:space="preserve">-besparing te behalen van ca. </w:t>
      </w:r>
      <w:r w:rsidR="00303FF5">
        <w:t>0,</w:t>
      </w:r>
      <w:r w:rsidR="00D97A0E">
        <w:t>3</w:t>
      </w:r>
      <w:r w:rsidRPr="000B64F3">
        <w:t xml:space="preserve">%. </w:t>
      </w:r>
    </w:p>
    <w:p w14:paraId="2CC7FE24" w14:textId="77777777" w:rsidR="0064344F" w:rsidRDefault="0064344F" w:rsidP="0064344F"/>
    <w:p w14:paraId="0F6D6CDE" w14:textId="77777777" w:rsidR="0064344F" w:rsidRDefault="0064344F" w:rsidP="0064344F">
      <w:r>
        <w:t>Deze maatregel zal manuren kosten om een gedragsverandering voor elkaar te krijgen bij de verschillende betrokkenen.</w:t>
      </w:r>
    </w:p>
    <w:p w14:paraId="73F6468E" w14:textId="77777777" w:rsidR="0064344F" w:rsidRDefault="0064344F" w:rsidP="0064344F"/>
    <w:p w14:paraId="49FDA17B" w14:textId="77777777" w:rsidR="00693E71" w:rsidRDefault="00693E71" w:rsidP="0064344F"/>
    <w:p w14:paraId="2228DB1B" w14:textId="77777777" w:rsidR="0064344F" w:rsidRPr="006E38C6" w:rsidRDefault="0064344F" w:rsidP="0064344F">
      <w:pPr>
        <w:rPr>
          <w:u w:val="single"/>
        </w:rPr>
      </w:pPr>
      <w:r w:rsidRPr="006E38C6">
        <w:rPr>
          <w:u w:val="single"/>
        </w:rPr>
        <w:t>3.</w:t>
      </w:r>
      <w:r w:rsidRPr="006E38C6">
        <w:rPr>
          <w:u w:val="single"/>
        </w:rPr>
        <w:tab/>
        <w:t xml:space="preserve">Gedrag in de </w:t>
      </w:r>
      <w:r w:rsidR="00A64E3D">
        <w:rPr>
          <w:u w:val="single"/>
        </w:rPr>
        <w:t>loods/</w:t>
      </w:r>
      <w:r w:rsidRPr="006E38C6">
        <w:rPr>
          <w:u w:val="single"/>
        </w:rPr>
        <w:t>werkplaats</w:t>
      </w:r>
    </w:p>
    <w:p w14:paraId="146A521C" w14:textId="77777777" w:rsidR="0064344F" w:rsidRDefault="0064344F" w:rsidP="0064344F"/>
    <w:p w14:paraId="4DDCB198" w14:textId="77777777" w:rsidR="0064344F" w:rsidRDefault="0064344F" w:rsidP="0064344F">
      <w:r>
        <w:t>De maatregel heeft betrekking op het reduceren van dieselverbruik en het gas- en elektriciteitsverbruik.</w:t>
      </w:r>
    </w:p>
    <w:p w14:paraId="2696019E" w14:textId="77777777" w:rsidR="0064344F" w:rsidRDefault="0064344F" w:rsidP="0064344F"/>
    <w:p w14:paraId="63C8C55D" w14:textId="77777777" w:rsidR="0064344F" w:rsidRDefault="0064344F" w:rsidP="0064344F">
      <w:r w:rsidRPr="000B64F3">
        <w:t xml:space="preserve">De maatregel betreft het realiseren van een gedragsverandering onder het personeel in de werkplaats. </w:t>
      </w:r>
      <w:r w:rsidR="00FF5181">
        <w:t xml:space="preserve">Het betreft hier een gedragsverandering t.o.v. het verminderen van draaiuren. </w:t>
      </w:r>
      <w:r w:rsidRPr="000B64F3">
        <w:t xml:space="preserve">Voor deze maatregel is gekozen omdat een ieder binnen </w:t>
      </w:r>
      <w:r w:rsidR="00E5141A">
        <w:t>Biesot B.V.</w:t>
      </w:r>
      <w:r w:rsidRPr="000B64F3">
        <w:t xml:space="preserve"> (in dit geval de medewe</w:t>
      </w:r>
      <w:r w:rsidR="002D2333">
        <w:t>r</w:t>
      </w:r>
      <w:r w:rsidRPr="000B64F3">
        <w:t>kers</w:t>
      </w:r>
      <w:r w:rsidR="002D2333">
        <w:t xml:space="preserve"> in de </w:t>
      </w:r>
      <w:r w:rsidR="002D2333" w:rsidRPr="000B64F3">
        <w:t>werkplaats</w:t>
      </w:r>
      <w:r w:rsidRPr="000B64F3">
        <w:t>) zijn aandeel moet leveren in CO</w:t>
      </w:r>
      <w:r w:rsidRPr="000B64F3">
        <w:rPr>
          <w:vertAlign w:val="subscript"/>
        </w:rPr>
        <w:t>2</w:t>
      </w:r>
      <w:r w:rsidRPr="000B64F3">
        <w:t>-</w:t>
      </w:r>
      <w:r>
        <w:t>besparing. Wij verwachten met deze maatregel een CO</w:t>
      </w:r>
      <w:r w:rsidRPr="006E38C6">
        <w:rPr>
          <w:vertAlign w:val="subscript"/>
        </w:rPr>
        <w:t>2</w:t>
      </w:r>
      <w:r>
        <w:t xml:space="preserve">-besparing te behalen van </w:t>
      </w:r>
      <w:r w:rsidRPr="004E64DB">
        <w:t xml:space="preserve">ca. </w:t>
      </w:r>
      <w:r w:rsidR="00303FF5">
        <w:t>0,</w:t>
      </w:r>
      <w:r w:rsidR="00A64E3D">
        <w:t>1</w:t>
      </w:r>
      <w:r w:rsidRPr="004E64DB">
        <w:t>%</w:t>
      </w:r>
      <w:r>
        <w:t>.</w:t>
      </w:r>
    </w:p>
    <w:p w14:paraId="28487F1E" w14:textId="77777777" w:rsidR="0064344F" w:rsidRDefault="0064344F" w:rsidP="0064344F"/>
    <w:p w14:paraId="00415ED2" w14:textId="77777777" w:rsidR="0064344F" w:rsidRDefault="0064344F" w:rsidP="0064344F">
      <w:r>
        <w:t>Deze maatregel zal manuren kosten om een gedragsverandering voor elkaar te krijgen bij werkplaatsmedewerkers.</w:t>
      </w:r>
      <w:r w:rsidR="00FF5181">
        <w:t xml:space="preserve"> Het is de verwachting dat dit ongeveer </w:t>
      </w:r>
      <w:r w:rsidR="00A64E3D">
        <w:t>4</w:t>
      </w:r>
      <w:r w:rsidR="00FF5181">
        <w:t xml:space="preserve"> uur per jaar zal kosten door het houden van toolboxen en een vóór</w:t>
      </w:r>
      <w:r w:rsidR="002D2333">
        <w:t>-</w:t>
      </w:r>
      <w:r w:rsidR="00FF5181">
        <w:t xml:space="preserve"> en nacontrole.</w:t>
      </w:r>
    </w:p>
    <w:p w14:paraId="66DF4540" w14:textId="77777777" w:rsidR="0064344F" w:rsidRDefault="0064344F" w:rsidP="0064344F"/>
    <w:p w14:paraId="1E70937A" w14:textId="77777777" w:rsidR="00693E71" w:rsidRDefault="00693E71" w:rsidP="0064344F"/>
    <w:p w14:paraId="5FD66E69" w14:textId="77777777" w:rsidR="0064344F" w:rsidRPr="006E38C6" w:rsidRDefault="0064344F" w:rsidP="0064344F">
      <w:pPr>
        <w:rPr>
          <w:u w:val="single"/>
        </w:rPr>
      </w:pPr>
      <w:r w:rsidRPr="006E38C6">
        <w:rPr>
          <w:u w:val="single"/>
        </w:rPr>
        <w:t>4.</w:t>
      </w:r>
      <w:r w:rsidRPr="006E38C6">
        <w:rPr>
          <w:u w:val="single"/>
        </w:rPr>
        <w:tab/>
        <w:t xml:space="preserve">Pilot nieuwe rijden voor </w:t>
      </w:r>
      <w:r w:rsidR="00A64E3D">
        <w:rPr>
          <w:u w:val="single"/>
        </w:rPr>
        <w:t>rijdend materieel</w:t>
      </w:r>
    </w:p>
    <w:p w14:paraId="405689BC" w14:textId="77777777" w:rsidR="0064344F" w:rsidRDefault="0064344F" w:rsidP="0064344F"/>
    <w:p w14:paraId="52EED819" w14:textId="77777777" w:rsidR="0064344F" w:rsidRDefault="0064344F" w:rsidP="0064344F">
      <w:r>
        <w:t>De emissiestroom waarop deze maatregel betrekking h</w:t>
      </w:r>
      <w:r w:rsidR="00A64E3D">
        <w:t>eeft is brandstofverbruik van rijdend materieel</w:t>
      </w:r>
      <w:r>
        <w:t xml:space="preserve">. Voor deze maatregel is gekozen omdat wij denken hiermee te kunnen besparen. </w:t>
      </w:r>
      <w:r w:rsidR="0048734C">
        <w:t xml:space="preserve">Inschatting van de </w:t>
      </w:r>
      <w:r>
        <w:t>besparing</w:t>
      </w:r>
      <w:r w:rsidR="0048734C">
        <w:t xml:space="preserve"> die dit </w:t>
      </w:r>
      <w:r>
        <w:t>oplever</w:t>
      </w:r>
      <w:r w:rsidR="0048734C">
        <w:t>t is 0,6</w:t>
      </w:r>
      <w:r w:rsidRPr="004E64DB">
        <w:t>%</w:t>
      </w:r>
      <w:r w:rsidR="0048734C">
        <w:t>.</w:t>
      </w:r>
      <w:r w:rsidR="009842B6">
        <w:t xml:space="preserve"> </w:t>
      </w:r>
      <w:r>
        <w:t xml:space="preserve"> </w:t>
      </w:r>
    </w:p>
    <w:p w14:paraId="2FE51904" w14:textId="77777777" w:rsidR="00EF392A" w:rsidRPr="009B591A" w:rsidRDefault="0064344F" w:rsidP="00EF392A">
      <w:pPr>
        <w:rPr>
          <w:sz w:val="22"/>
        </w:rPr>
      </w:pPr>
      <w:r>
        <w:t xml:space="preserve"> </w:t>
      </w:r>
    </w:p>
    <w:p w14:paraId="02FD7171" w14:textId="77777777" w:rsidR="006E38C6" w:rsidRPr="009B591A" w:rsidRDefault="00BE1EEC" w:rsidP="006E38C6">
      <w:pPr>
        <w:pStyle w:val="Kop2"/>
        <w:rPr>
          <w:sz w:val="22"/>
        </w:rPr>
      </w:pPr>
      <w:bookmarkStart w:id="8" w:name="_Toc485194651"/>
      <w:r w:rsidRPr="009B591A">
        <w:rPr>
          <w:sz w:val="22"/>
        </w:rPr>
        <w:t>4</w:t>
      </w:r>
      <w:r w:rsidR="006E38C6" w:rsidRPr="009B591A">
        <w:rPr>
          <w:sz w:val="22"/>
        </w:rPr>
        <w:t>.2</w:t>
      </w:r>
      <w:r w:rsidR="006E38C6" w:rsidRPr="009B591A">
        <w:rPr>
          <w:sz w:val="22"/>
        </w:rPr>
        <w:tab/>
        <w:t>Maatregelen scope 2</w:t>
      </w:r>
      <w:bookmarkEnd w:id="8"/>
    </w:p>
    <w:p w14:paraId="4FF5BE5D" w14:textId="77777777" w:rsidR="006E38C6" w:rsidRPr="009B591A" w:rsidRDefault="006E38C6" w:rsidP="006E38C6">
      <w:pPr>
        <w:rPr>
          <w:sz w:val="22"/>
        </w:rPr>
      </w:pPr>
    </w:p>
    <w:p w14:paraId="2194C61D" w14:textId="77777777" w:rsidR="00025460" w:rsidRPr="006E38C6" w:rsidRDefault="00025460" w:rsidP="00025460">
      <w:pPr>
        <w:rPr>
          <w:u w:val="single"/>
        </w:rPr>
      </w:pPr>
      <w:r w:rsidRPr="006E38C6">
        <w:rPr>
          <w:u w:val="single"/>
        </w:rPr>
        <w:t>Groene stroom</w:t>
      </w:r>
      <w:r w:rsidR="009842B6">
        <w:rPr>
          <w:u w:val="single"/>
        </w:rPr>
        <w:t xml:space="preserve"> inkopen</w:t>
      </w:r>
    </w:p>
    <w:p w14:paraId="63810639" w14:textId="77777777" w:rsidR="00025460" w:rsidRDefault="00025460" w:rsidP="00025460">
      <w:r>
        <w:t>Deze maatregel heeft betrekking op het reduceren van</w:t>
      </w:r>
      <w:r w:rsidR="009842B6">
        <w:t xml:space="preserve"> de CO</w:t>
      </w:r>
      <w:r w:rsidR="009842B6" w:rsidRPr="009842B6">
        <w:rPr>
          <w:vertAlign w:val="subscript"/>
        </w:rPr>
        <w:t>2</w:t>
      </w:r>
      <w:r w:rsidR="009842B6">
        <w:t>-uitstoot door</w:t>
      </w:r>
      <w:r>
        <w:t xml:space="preserve"> het elektriciteitsverbruik.</w:t>
      </w:r>
    </w:p>
    <w:p w14:paraId="67D8A1AE" w14:textId="77777777" w:rsidR="00025460" w:rsidRDefault="00025460" w:rsidP="00025460"/>
    <w:p w14:paraId="7CBF7C67" w14:textId="77777777" w:rsidR="00025460" w:rsidRDefault="009842B6" w:rsidP="00025460">
      <w:r>
        <w:t>D</w:t>
      </w:r>
      <w:r w:rsidR="00025460">
        <w:t xml:space="preserve">eze maatregel </w:t>
      </w:r>
      <w:r>
        <w:t>kan worden afgetast</w:t>
      </w:r>
      <w:r w:rsidR="00025460">
        <w:t xml:space="preserve"> omdat wij denken hiermee aanzienlijk te kunnen besparen. De CO</w:t>
      </w:r>
      <w:r w:rsidR="00025460" w:rsidRPr="006E38C6">
        <w:rPr>
          <w:vertAlign w:val="subscript"/>
        </w:rPr>
        <w:t>2</w:t>
      </w:r>
      <w:r w:rsidR="00025460">
        <w:t xml:space="preserve">-besparing die </w:t>
      </w:r>
      <w:r>
        <w:t xml:space="preserve">zonne-energie en </w:t>
      </w:r>
      <w:r w:rsidR="00025460">
        <w:t>windenergie oplevert ten opzichte van grijze elektriciteit is</w:t>
      </w:r>
      <w:r w:rsidR="00303FF5">
        <w:t xml:space="preserve"> “rekenkundig” volgens de norm</w:t>
      </w:r>
      <w:r w:rsidR="00025460">
        <w:t xml:space="preserve"> </w:t>
      </w:r>
      <w:r>
        <w:t>100</w:t>
      </w:r>
      <w:r w:rsidR="00025460">
        <w:t xml:space="preserve">%. </w:t>
      </w:r>
    </w:p>
    <w:p w14:paraId="591486B5" w14:textId="77777777" w:rsidR="00025460" w:rsidRDefault="00025460" w:rsidP="00025460"/>
    <w:p w14:paraId="0380C15F" w14:textId="77777777" w:rsidR="00693E71" w:rsidRDefault="00693E71" w:rsidP="00025460"/>
    <w:p w14:paraId="7D871766" w14:textId="77777777" w:rsidR="00693E71" w:rsidRDefault="00693E71" w:rsidP="00025460"/>
    <w:p w14:paraId="4299A59B" w14:textId="77777777" w:rsidR="00025460" w:rsidRPr="006E38C6" w:rsidRDefault="00025460" w:rsidP="00025460">
      <w:pPr>
        <w:rPr>
          <w:u w:val="single"/>
        </w:rPr>
      </w:pPr>
      <w:r w:rsidRPr="006E38C6">
        <w:rPr>
          <w:u w:val="single"/>
        </w:rPr>
        <w:lastRenderedPageBreak/>
        <w:t>Bedrijfspand</w:t>
      </w:r>
    </w:p>
    <w:p w14:paraId="1B730766" w14:textId="77777777" w:rsidR="00025460" w:rsidRDefault="00025460" w:rsidP="00025460">
      <w:r>
        <w:t>Deze maatregel heeft betrekking op het reduceren van het elektriciteitsverbruik.</w:t>
      </w:r>
    </w:p>
    <w:p w14:paraId="26EF9099" w14:textId="77777777" w:rsidR="00025460" w:rsidRDefault="00025460" w:rsidP="00025460"/>
    <w:p w14:paraId="4F8B0E6E" w14:textId="77777777" w:rsidR="00025460" w:rsidRPr="006E38C6" w:rsidRDefault="009842B6" w:rsidP="00025460">
      <w:r>
        <w:t>Aftasting</w:t>
      </w:r>
      <w:r w:rsidR="00025460" w:rsidRPr="000B64F3">
        <w:t xml:space="preserve"> </w:t>
      </w:r>
      <w:r>
        <w:t xml:space="preserve">plaatsen van </w:t>
      </w:r>
      <w:r w:rsidR="00025460" w:rsidRPr="000B64F3">
        <w:t>lichtkoepels en ledverlichting</w:t>
      </w:r>
      <w:r>
        <w:t>,</w:t>
      </w:r>
      <w:r w:rsidR="00025460" w:rsidRPr="000B64F3">
        <w:t xml:space="preserve"> kan het kunstlicht in de</w:t>
      </w:r>
      <w:r w:rsidR="00025460">
        <w:t xml:space="preserve"> </w:t>
      </w:r>
      <w:proofErr w:type="spellStart"/>
      <w:r w:rsidR="00025460">
        <w:t>werk</w:t>
      </w:r>
      <w:r w:rsidR="00FF488C">
        <w:t>-</w:t>
      </w:r>
      <w:r w:rsidR="00025460">
        <w:t>plaats</w:t>
      </w:r>
      <w:proofErr w:type="spellEnd"/>
      <w:r w:rsidR="00025460">
        <w:t xml:space="preserve"> tot een minimum beperkt worden. </w:t>
      </w:r>
      <w:r>
        <w:t>Tevens het e</w:t>
      </w:r>
      <w:r w:rsidR="00025460">
        <w:t xml:space="preserve">ventueel plaatsen van </w:t>
      </w:r>
      <w:r w:rsidR="00745A3C">
        <w:t>bewegingssensoren</w:t>
      </w:r>
      <w:r w:rsidR="00025460">
        <w:t xml:space="preserve"> in ruimtes. Wij verwachten op het elektriciteitsverbruik een besp</w:t>
      </w:r>
      <w:r w:rsidR="00303FF5">
        <w:t xml:space="preserve">aring te kunnen realiseren van </w:t>
      </w:r>
      <w:r w:rsidR="00025460">
        <w:t>0</w:t>
      </w:r>
      <w:r w:rsidR="00303FF5">
        <w:t>,8</w:t>
      </w:r>
      <w:r w:rsidR="00025460">
        <w:t>%.</w:t>
      </w:r>
    </w:p>
    <w:p w14:paraId="24B56B6D" w14:textId="77777777" w:rsidR="00025460" w:rsidRDefault="00025460" w:rsidP="00025460"/>
    <w:p w14:paraId="5EE709CA" w14:textId="77777777" w:rsidR="0010603B" w:rsidRPr="009B591A" w:rsidRDefault="0010603B" w:rsidP="0010603B">
      <w:pPr>
        <w:pStyle w:val="Kop2"/>
        <w:rPr>
          <w:sz w:val="22"/>
        </w:rPr>
      </w:pPr>
      <w:bookmarkStart w:id="9" w:name="_Toc485194652"/>
      <w:r w:rsidRPr="009B591A">
        <w:rPr>
          <w:sz w:val="22"/>
        </w:rPr>
        <w:t>4.3</w:t>
      </w:r>
      <w:r w:rsidRPr="009B591A">
        <w:rPr>
          <w:sz w:val="22"/>
        </w:rPr>
        <w:tab/>
        <w:t>Doelstelling gebruik van alternatieve brandstoffen en/of groene stroom (2.B.2.)</w:t>
      </w:r>
      <w:bookmarkEnd w:id="9"/>
    </w:p>
    <w:p w14:paraId="606F7860" w14:textId="77777777" w:rsidR="0010603B" w:rsidRDefault="0010603B" w:rsidP="006E38C6">
      <w:pPr>
        <w:rPr>
          <w:sz w:val="22"/>
        </w:rPr>
      </w:pPr>
    </w:p>
    <w:p w14:paraId="2F69ED97" w14:textId="77777777" w:rsidR="00A80118" w:rsidRDefault="00025460">
      <w:r>
        <w:t xml:space="preserve">In het kader van de hierboven opgestelde doelstellingen, zal de organisatie het komende jaar </w:t>
      </w:r>
      <w:r w:rsidR="00303FF5">
        <w:t xml:space="preserve">‘verdergaand’ </w:t>
      </w:r>
      <w:r>
        <w:t>gaan aftasten of er alternatieven zijn te vinden in de brandstoffen of in de elektriciteitsvoorziening om de reductiedoelstelling te bewerkstelligen.</w:t>
      </w:r>
      <w:r w:rsidR="00303FF5">
        <w:t xml:space="preserve"> Zie verder ook de Interne Controle.</w:t>
      </w:r>
    </w:p>
    <w:p w14:paraId="0DCC9738" w14:textId="77777777" w:rsidR="00025460" w:rsidRDefault="00025460"/>
    <w:p w14:paraId="7CD1FF41" w14:textId="77777777" w:rsidR="00626181" w:rsidRDefault="00626181"/>
    <w:p w14:paraId="1F3A5E7F" w14:textId="77777777" w:rsidR="00626181" w:rsidRPr="00EF78CD" w:rsidRDefault="00BE1EEC" w:rsidP="00BE1EEC">
      <w:pPr>
        <w:pStyle w:val="Kop1"/>
      </w:pPr>
      <w:bookmarkStart w:id="10" w:name="_Toc485194653"/>
      <w:r w:rsidRPr="00EF78CD">
        <w:t>5.</w:t>
      </w:r>
      <w:r w:rsidRPr="00EF78CD">
        <w:tab/>
      </w:r>
      <w:r w:rsidR="00626181" w:rsidRPr="00EF78CD">
        <w:t>Monitoring en metin</w:t>
      </w:r>
      <w:r w:rsidR="002C6463" w:rsidRPr="00EF78CD">
        <w:t>g</w:t>
      </w:r>
      <w:bookmarkEnd w:id="10"/>
      <w:r w:rsidR="002C6463" w:rsidRPr="00EF78CD">
        <w:t xml:space="preserve"> </w:t>
      </w:r>
    </w:p>
    <w:p w14:paraId="1D47E79C" w14:textId="77777777" w:rsidR="00626181" w:rsidRDefault="00626181" w:rsidP="00626181"/>
    <w:p w14:paraId="6A8D0B5C" w14:textId="77777777" w:rsidR="0011357D" w:rsidRPr="00A64E3D" w:rsidRDefault="0011357D" w:rsidP="0011357D">
      <w:r w:rsidRPr="00A64E3D">
        <w:t>Elke besparingsmaatregel die wij nemen wordt gemonitord. Hiervoor is een meet- en</w:t>
      </w:r>
    </w:p>
    <w:p w14:paraId="3FF9B166" w14:textId="77777777" w:rsidR="0011357D" w:rsidRPr="00A64E3D" w:rsidRDefault="0011357D" w:rsidP="0011357D">
      <w:r w:rsidRPr="00A64E3D">
        <w:t>monitoringsysteem ingericht (zie procedure A.2 van het handboek</w:t>
      </w:r>
      <w:r w:rsidR="000A72F8" w:rsidRPr="00A64E3D">
        <w:t xml:space="preserve"> </w:t>
      </w:r>
      <w:proofErr w:type="spellStart"/>
      <w:r w:rsidRPr="00A64E3D">
        <w:t>Management</w:t>
      </w:r>
      <w:r w:rsidR="00FF488C">
        <w:t>-</w:t>
      </w:r>
      <w:r w:rsidRPr="00A64E3D">
        <w:t>systeem</w:t>
      </w:r>
      <w:proofErr w:type="spellEnd"/>
      <w:r w:rsidRPr="00A64E3D">
        <w:t xml:space="preserve"> voor CO</w:t>
      </w:r>
      <w:r w:rsidRPr="00A64E3D">
        <w:rPr>
          <w:vertAlign w:val="subscript"/>
        </w:rPr>
        <w:t>2</w:t>
      </w:r>
      <w:r w:rsidRPr="00A64E3D">
        <w:t xml:space="preserve">-bewust handelen). </w:t>
      </w:r>
      <w:r w:rsidR="00626181" w:rsidRPr="00A64E3D">
        <w:t>De monitoring en meting van de CO</w:t>
      </w:r>
      <w:r w:rsidR="00626181" w:rsidRPr="00A64E3D">
        <w:rPr>
          <w:vertAlign w:val="subscript"/>
        </w:rPr>
        <w:t>2</w:t>
      </w:r>
      <w:r w:rsidR="00626181" w:rsidRPr="00A64E3D">
        <w:t>-reductie</w:t>
      </w:r>
      <w:r w:rsidR="00FF488C">
        <w:t>-</w:t>
      </w:r>
      <w:r w:rsidR="00626181" w:rsidRPr="00A64E3D">
        <w:t xml:space="preserve">maatregelen zal </w:t>
      </w:r>
      <w:r w:rsidRPr="00A64E3D">
        <w:t>periodiek</w:t>
      </w:r>
      <w:r w:rsidR="00626181" w:rsidRPr="00A64E3D">
        <w:t xml:space="preserve"> plaatsvinden. </w:t>
      </w:r>
      <w:r w:rsidRPr="00A64E3D">
        <w:t>Als een maatregel in de praktijk tegenvalt, kunnen wij beslissen om te stoppen met de maatregel en/of de monitoring.</w:t>
      </w:r>
    </w:p>
    <w:p w14:paraId="69175BE3" w14:textId="77777777" w:rsidR="00FF488C" w:rsidRDefault="00FF488C"/>
    <w:p w14:paraId="402CF865" w14:textId="77777777" w:rsidR="00693E71" w:rsidRDefault="00693E71"/>
    <w:p w14:paraId="184207DF" w14:textId="77777777" w:rsidR="0011357D" w:rsidRPr="009B591A" w:rsidRDefault="003A69E8" w:rsidP="0011357D">
      <w:pPr>
        <w:pStyle w:val="Kop2"/>
        <w:rPr>
          <w:sz w:val="22"/>
        </w:rPr>
      </w:pPr>
      <w:bookmarkStart w:id="11" w:name="_Toc485194654"/>
      <w:r>
        <w:rPr>
          <w:sz w:val="22"/>
        </w:rPr>
        <w:t>5.1</w:t>
      </w:r>
      <w:r w:rsidR="0011357D" w:rsidRPr="009B591A">
        <w:rPr>
          <w:sz w:val="22"/>
        </w:rPr>
        <w:tab/>
      </w:r>
      <w:r w:rsidR="006A7656" w:rsidRPr="009B591A">
        <w:rPr>
          <w:sz w:val="22"/>
        </w:rPr>
        <w:t xml:space="preserve">Energie </w:t>
      </w:r>
      <w:r w:rsidR="000A72F8">
        <w:rPr>
          <w:sz w:val="22"/>
        </w:rPr>
        <w:t>P</w:t>
      </w:r>
      <w:r w:rsidR="0011357D" w:rsidRPr="009B591A">
        <w:rPr>
          <w:sz w:val="22"/>
        </w:rPr>
        <w:t>restatie</w:t>
      </w:r>
      <w:r w:rsidR="006A7656" w:rsidRPr="009B591A">
        <w:rPr>
          <w:sz w:val="22"/>
        </w:rPr>
        <w:t>-</w:t>
      </w:r>
      <w:r w:rsidR="000A72F8">
        <w:rPr>
          <w:sz w:val="22"/>
        </w:rPr>
        <w:t>I</w:t>
      </w:r>
      <w:r w:rsidR="0011357D" w:rsidRPr="009B591A">
        <w:rPr>
          <w:sz w:val="22"/>
        </w:rPr>
        <w:t>ndicatoren (</w:t>
      </w:r>
      <w:proofErr w:type="spellStart"/>
      <w:r w:rsidR="006A7656" w:rsidRPr="009B591A">
        <w:rPr>
          <w:sz w:val="22"/>
        </w:rPr>
        <w:t>En</w:t>
      </w:r>
      <w:r w:rsidR="000A72F8">
        <w:rPr>
          <w:sz w:val="22"/>
        </w:rPr>
        <w:t>PI</w:t>
      </w:r>
      <w:proofErr w:type="spellEnd"/>
      <w:r w:rsidR="0011357D" w:rsidRPr="009B591A">
        <w:rPr>
          <w:sz w:val="22"/>
        </w:rPr>
        <w:t>)</w:t>
      </w:r>
      <w:bookmarkEnd w:id="11"/>
    </w:p>
    <w:p w14:paraId="3834ACEF" w14:textId="77777777" w:rsidR="0011357D" w:rsidRPr="009B591A" w:rsidRDefault="0011357D" w:rsidP="0011357D">
      <w:pPr>
        <w:rPr>
          <w:sz w:val="22"/>
        </w:rPr>
      </w:pPr>
    </w:p>
    <w:p w14:paraId="57DB2C22" w14:textId="77777777" w:rsidR="00A36303" w:rsidRDefault="00A36303" w:rsidP="00A36303">
      <w:r w:rsidRPr="00A64E3D">
        <w:t>Om daadwerkelijk</w:t>
      </w:r>
      <w:r w:rsidR="000A72F8" w:rsidRPr="00A64E3D">
        <w:t>e</w:t>
      </w:r>
      <w:r w:rsidRPr="00A64E3D">
        <w:t xml:space="preserve"> sturing op het energieverbruik mogelijk te make</w:t>
      </w:r>
      <w:r w:rsidR="000A72F8" w:rsidRPr="00A64E3D">
        <w:t xml:space="preserve">n hebben wij een aantal </w:t>
      </w:r>
      <w:proofErr w:type="spellStart"/>
      <w:r w:rsidR="000A72F8" w:rsidRPr="00A64E3D">
        <w:t>E</w:t>
      </w:r>
      <w:r w:rsidRPr="00A64E3D">
        <w:t>nPI</w:t>
      </w:r>
      <w:proofErr w:type="spellEnd"/>
      <w:r w:rsidR="000A72F8" w:rsidRPr="00A64E3D">
        <w:t xml:space="preserve"> geformuleerd. </w:t>
      </w:r>
      <w:proofErr w:type="spellStart"/>
      <w:r w:rsidR="000A72F8" w:rsidRPr="00A64E3D">
        <w:t>EnPI</w:t>
      </w:r>
      <w:proofErr w:type="spellEnd"/>
      <w:r w:rsidRPr="00A64E3D">
        <w:t xml:space="preserve"> kunnen bestaan uit een parameter (absoluut energiegebruik), energiegebruik per eenheid (bijvoorbeeld werkdag, weekenddag, fabricatieduur, product, ploeg) of een multivariabel model.</w:t>
      </w:r>
    </w:p>
    <w:p w14:paraId="0E38EFFE" w14:textId="77777777" w:rsidR="00A36303" w:rsidRDefault="00A36303" w:rsidP="0011357D"/>
    <w:tbl>
      <w:tblPr>
        <w:tblStyle w:val="Lichtraster-accent3"/>
        <w:tblW w:w="0" w:type="auto"/>
        <w:tblLook w:val="04A0" w:firstRow="1" w:lastRow="0" w:firstColumn="1" w:lastColumn="0" w:noHBand="0" w:noVBand="1"/>
      </w:tblPr>
      <w:tblGrid>
        <w:gridCol w:w="2943"/>
        <w:gridCol w:w="1464"/>
        <w:gridCol w:w="1513"/>
      </w:tblGrid>
      <w:tr w:rsidR="00D97A0E" w14:paraId="3A58AC8F" w14:textId="77777777" w:rsidTr="000E0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95B9C5F" w14:textId="77777777" w:rsidR="00D97A0E" w:rsidRPr="006A7656" w:rsidRDefault="00D97A0E" w:rsidP="000F6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Onderwerp</w:t>
            </w:r>
          </w:p>
        </w:tc>
        <w:tc>
          <w:tcPr>
            <w:tcW w:w="1464" w:type="dxa"/>
          </w:tcPr>
          <w:p w14:paraId="0A8AABBA" w14:textId="77777777" w:rsidR="00D97A0E" w:rsidRPr="006A7656" w:rsidRDefault="00D97A0E" w:rsidP="000F60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Registratie</w:t>
            </w:r>
          </w:p>
        </w:tc>
        <w:tc>
          <w:tcPr>
            <w:tcW w:w="1513" w:type="dxa"/>
          </w:tcPr>
          <w:p w14:paraId="04EAAF6D" w14:textId="77777777" w:rsidR="00D97A0E" w:rsidRPr="006A7656" w:rsidRDefault="00D97A0E" w:rsidP="000F60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7656">
              <w:rPr>
                <w:sz w:val="16"/>
                <w:szCs w:val="16"/>
              </w:rPr>
              <w:t>Intervalperiode</w:t>
            </w:r>
          </w:p>
        </w:tc>
      </w:tr>
      <w:tr w:rsidR="00D97A0E" w14:paraId="6F935442" w14:textId="77777777" w:rsidTr="000E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6E0BA1F" w14:textId="77777777" w:rsidR="00D97A0E" w:rsidRPr="00A36303" w:rsidRDefault="00D97A0E" w:rsidP="000F600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64" w:type="dxa"/>
          </w:tcPr>
          <w:p w14:paraId="26511EBD" w14:textId="77777777" w:rsidR="00D97A0E" w:rsidRPr="00A36303" w:rsidRDefault="00D97A0E" w:rsidP="000F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14:paraId="11150CA8" w14:textId="77777777" w:rsidR="00D97A0E" w:rsidRPr="00A36303" w:rsidRDefault="00D97A0E" w:rsidP="000F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A0E" w14:paraId="199233B3" w14:textId="77777777" w:rsidTr="000E0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2144FE8" w14:textId="77777777" w:rsidR="00D97A0E" w:rsidRPr="00A36303" w:rsidRDefault="00D97A0E" w:rsidP="000F6002">
            <w:pPr>
              <w:rPr>
                <w:b w:val="0"/>
                <w:sz w:val="22"/>
                <w:szCs w:val="22"/>
              </w:rPr>
            </w:pPr>
            <w:r w:rsidRPr="00A36303">
              <w:rPr>
                <w:b w:val="0"/>
                <w:sz w:val="22"/>
                <w:szCs w:val="22"/>
              </w:rPr>
              <w:t>Gasverbruik</w:t>
            </w:r>
          </w:p>
        </w:tc>
        <w:tc>
          <w:tcPr>
            <w:tcW w:w="1464" w:type="dxa"/>
          </w:tcPr>
          <w:p w14:paraId="604A285C" w14:textId="77777777" w:rsidR="00D97A0E" w:rsidRPr="00A36303" w:rsidRDefault="00D97A0E" w:rsidP="000F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Gasmeter</w:t>
            </w:r>
          </w:p>
        </w:tc>
        <w:tc>
          <w:tcPr>
            <w:tcW w:w="1513" w:type="dxa"/>
          </w:tcPr>
          <w:p w14:paraId="17FB2A4B" w14:textId="77777777" w:rsidR="00D97A0E" w:rsidRPr="00A36303" w:rsidRDefault="0024510B" w:rsidP="000F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Kwartaal </w:t>
            </w:r>
          </w:p>
        </w:tc>
      </w:tr>
      <w:tr w:rsidR="0024510B" w14:paraId="34E31688" w14:textId="77777777" w:rsidTr="000E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8D61333" w14:textId="77777777" w:rsidR="0024510B" w:rsidRPr="00A36303" w:rsidRDefault="0024510B" w:rsidP="0024510B">
            <w:pPr>
              <w:rPr>
                <w:b w:val="0"/>
                <w:sz w:val="22"/>
                <w:szCs w:val="22"/>
              </w:rPr>
            </w:pPr>
            <w:r w:rsidRPr="00A36303">
              <w:rPr>
                <w:b w:val="0"/>
                <w:sz w:val="22"/>
                <w:szCs w:val="22"/>
              </w:rPr>
              <w:t>Elektriciteitsverbruik</w:t>
            </w:r>
          </w:p>
        </w:tc>
        <w:tc>
          <w:tcPr>
            <w:tcW w:w="1464" w:type="dxa"/>
          </w:tcPr>
          <w:p w14:paraId="67AB55B4" w14:textId="77777777" w:rsidR="0024510B" w:rsidRPr="00A36303" w:rsidRDefault="0024510B" w:rsidP="0024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Elektrameter</w:t>
            </w:r>
          </w:p>
        </w:tc>
        <w:tc>
          <w:tcPr>
            <w:tcW w:w="1513" w:type="dxa"/>
          </w:tcPr>
          <w:p w14:paraId="3303D3DA" w14:textId="77777777" w:rsidR="0024510B" w:rsidRDefault="0024510B" w:rsidP="0024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3B1">
              <w:rPr>
                <w:sz w:val="22"/>
                <w:szCs w:val="22"/>
              </w:rPr>
              <w:t xml:space="preserve">Kwartaal </w:t>
            </w:r>
          </w:p>
        </w:tc>
      </w:tr>
      <w:tr w:rsidR="0024510B" w14:paraId="23D16E38" w14:textId="77777777" w:rsidTr="000E0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6E42C10" w14:textId="77777777" w:rsidR="0024510B" w:rsidRPr="00A36303" w:rsidRDefault="0024510B" w:rsidP="0024510B">
            <w:pPr>
              <w:rPr>
                <w:b w:val="0"/>
                <w:sz w:val="22"/>
                <w:szCs w:val="22"/>
              </w:rPr>
            </w:pPr>
            <w:r w:rsidRPr="00A36303">
              <w:rPr>
                <w:b w:val="0"/>
                <w:sz w:val="22"/>
                <w:szCs w:val="22"/>
              </w:rPr>
              <w:t>Brandstofverbruik</w:t>
            </w:r>
          </w:p>
        </w:tc>
        <w:tc>
          <w:tcPr>
            <w:tcW w:w="1464" w:type="dxa"/>
          </w:tcPr>
          <w:p w14:paraId="7A7B0E51" w14:textId="77777777" w:rsidR="0024510B" w:rsidRPr="00A36303" w:rsidRDefault="0024510B" w:rsidP="0024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Leverancier</w:t>
            </w:r>
          </w:p>
        </w:tc>
        <w:tc>
          <w:tcPr>
            <w:tcW w:w="1513" w:type="dxa"/>
          </w:tcPr>
          <w:p w14:paraId="5DE13595" w14:textId="77777777" w:rsidR="0024510B" w:rsidRDefault="0024510B" w:rsidP="0024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623B1">
              <w:rPr>
                <w:sz w:val="22"/>
                <w:szCs w:val="22"/>
              </w:rPr>
              <w:t xml:space="preserve">Kwartaal </w:t>
            </w:r>
          </w:p>
        </w:tc>
      </w:tr>
      <w:tr w:rsidR="00D97A0E" w14:paraId="7AAD4579" w14:textId="77777777" w:rsidTr="000E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47E330F" w14:textId="77777777" w:rsidR="00D97A0E" w:rsidRPr="00A36303" w:rsidRDefault="00D97A0E" w:rsidP="000F600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64" w:type="dxa"/>
          </w:tcPr>
          <w:p w14:paraId="6879A2AF" w14:textId="77777777" w:rsidR="00D97A0E" w:rsidRPr="00A36303" w:rsidRDefault="00D97A0E" w:rsidP="000F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14:paraId="1D63046B" w14:textId="77777777" w:rsidR="00D97A0E" w:rsidRPr="00A36303" w:rsidRDefault="00D97A0E" w:rsidP="000F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44F3388" w14:textId="77777777" w:rsidR="002C6463" w:rsidRDefault="002C6463"/>
    <w:p w14:paraId="4D78DCEB" w14:textId="77777777" w:rsidR="00FF488C" w:rsidRDefault="00C15FEA">
      <w:r>
        <w:t>De registraties zijn a</w:t>
      </w:r>
      <w:r w:rsidR="002C6463" w:rsidRPr="00A64E3D">
        <w:t>antoonbaar door middel van</w:t>
      </w:r>
      <w:r w:rsidR="00025460" w:rsidRPr="00A64E3D">
        <w:t xml:space="preserve"> </w:t>
      </w:r>
      <w:r>
        <w:t xml:space="preserve">genoteerde meterstanden en </w:t>
      </w:r>
      <w:r w:rsidR="00025460" w:rsidRPr="00A64E3D">
        <w:t>nota’s/afrekeningen van de leveranciers</w:t>
      </w:r>
      <w:r>
        <w:t>.</w:t>
      </w:r>
    </w:p>
    <w:p w14:paraId="30C00E85" w14:textId="77777777" w:rsidR="00FF488C" w:rsidRDefault="00FF488C"/>
    <w:p w14:paraId="52F9D46A" w14:textId="77777777" w:rsidR="00FF488C" w:rsidRDefault="00FF488C"/>
    <w:p w14:paraId="5556C704" w14:textId="77777777" w:rsidR="00FF488C" w:rsidRDefault="00FF488C"/>
    <w:p w14:paraId="7D1DBC7E" w14:textId="77777777" w:rsidR="00FF488C" w:rsidRDefault="00FF488C"/>
    <w:p w14:paraId="78D51805" w14:textId="77777777" w:rsidR="00A64E3D" w:rsidRDefault="00A64E3D">
      <w:r>
        <w:br w:type="page"/>
      </w:r>
    </w:p>
    <w:p w14:paraId="22076789" w14:textId="77777777" w:rsidR="002C6463" w:rsidRPr="00EF78CD" w:rsidRDefault="00545355" w:rsidP="002C6463">
      <w:pPr>
        <w:pStyle w:val="Kop1"/>
      </w:pPr>
      <w:bookmarkStart w:id="12" w:name="_Toc485194655"/>
      <w:r w:rsidRPr="00EF78CD">
        <w:lastRenderedPageBreak/>
        <w:t>6</w:t>
      </w:r>
      <w:r w:rsidR="00BE1EEC" w:rsidRPr="00EF78CD">
        <w:t>.</w:t>
      </w:r>
      <w:r w:rsidR="00BE1EEC" w:rsidRPr="00EF78CD">
        <w:tab/>
      </w:r>
      <w:r w:rsidRPr="00EF78CD">
        <w:t>Periodieke o</w:t>
      </w:r>
      <w:r w:rsidR="002C6463" w:rsidRPr="00EF78CD">
        <w:t>pvolging</w:t>
      </w:r>
      <w:r w:rsidR="007E4FC3" w:rsidRPr="00EF78CD">
        <w:t xml:space="preserve"> / voortdurende verbetering</w:t>
      </w:r>
      <w:bookmarkEnd w:id="12"/>
    </w:p>
    <w:p w14:paraId="111BC605" w14:textId="77777777" w:rsidR="002C6463" w:rsidRPr="009B591A" w:rsidRDefault="002C6463" w:rsidP="002C6463">
      <w:pPr>
        <w:rPr>
          <w:sz w:val="22"/>
        </w:rPr>
      </w:pPr>
    </w:p>
    <w:p w14:paraId="718859B9" w14:textId="77777777" w:rsidR="00A36303" w:rsidRPr="009B591A" w:rsidRDefault="00A36303" w:rsidP="00A36303">
      <w:pPr>
        <w:rPr>
          <w:sz w:val="22"/>
        </w:rPr>
      </w:pPr>
      <w:r w:rsidRPr="009B591A">
        <w:rPr>
          <w:sz w:val="22"/>
        </w:rPr>
        <w:t>He</w:t>
      </w:r>
      <w:r w:rsidR="000A72F8">
        <w:rPr>
          <w:sz w:val="22"/>
        </w:rPr>
        <w:t>t formuleren van doelstellingen en het</w:t>
      </w:r>
      <w:r w:rsidRPr="009B591A">
        <w:rPr>
          <w:sz w:val="22"/>
        </w:rPr>
        <w:t xml:space="preserve"> selecteren van besparingsmaatregelen is geen eenmalige actie. </w:t>
      </w:r>
      <w:r w:rsidR="00D762A3" w:rsidRPr="009B591A">
        <w:rPr>
          <w:sz w:val="22"/>
        </w:rPr>
        <w:t>Om ervoor te zorgen dat het</w:t>
      </w:r>
      <w:r w:rsidR="007E4FC3" w:rsidRPr="009B591A">
        <w:rPr>
          <w:sz w:val="22"/>
        </w:rPr>
        <w:t xml:space="preserve"> beleid ook daadwerkelijk onderdeel wordt van de dagelijkse bedrijfsvoering moeten deze activiteiten continu plaatsvinden.</w:t>
      </w:r>
    </w:p>
    <w:p w14:paraId="16E6F8FC" w14:textId="77777777" w:rsidR="00A36303" w:rsidRPr="009B591A" w:rsidRDefault="00A36303" w:rsidP="00A36303">
      <w:pPr>
        <w:rPr>
          <w:sz w:val="22"/>
        </w:rPr>
      </w:pPr>
    </w:p>
    <w:p w14:paraId="35EA88E1" w14:textId="77777777" w:rsidR="00A36303" w:rsidRPr="009B591A" w:rsidRDefault="007E4FC3" w:rsidP="007E4FC3">
      <w:pPr>
        <w:rPr>
          <w:sz w:val="22"/>
        </w:rPr>
      </w:pPr>
      <w:r w:rsidRPr="009B591A">
        <w:rPr>
          <w:sz w:val="22"/>
        </w:rPr>
        <w:t xml:space="preserve">Zo zullen wij </w:t>
      </w:r>
      <w:r w:rsidR="00A36303" w:rsidRPr="009B591A">
        <w:rPr>
          <w:sz w:val="22"/>
        </w:rPr>
        <w:t xml:space="preserve">gedurende het jaar </w:t>
      </w:r>
      <w:r w:rsidRPr="009B591A">
        <w:rPr>
          <w:sz w:val="22"/>
        </w:rPr>
        <w:t xml:space="preserve">de </w:t>
      </w:r>
      <w:r w:rsidR="00A36303" w:rsidRPr="009B591A">
        <w:rPr>
          <w:sz w:val="22"/>
        </w:rPr>
        <w:t xml:space="preserve">reductiemaatregelen uitvoeren, </w:t>
      </w:r>
      <w:r w:rsidR="000A72F8">
        <w:rPr>
          <w:sz w:val="22"/>
        </w:rPr>
        <w:t xml:space="preserve">het </w:t>
      </w:r>
      <w:r w:rsidR="00A36303" w:rsidRPr="009B591A">
        <w:rPr>
          <w:sz w:val="22"/>
        </w:rPr>
        <w:t xml:space="preserve">verbruik registreren, communiceren en </w:t>
      </w:r>
      <w:r w:rsidR="000A72F8">
        <w:rPr>
          <w:sz w:val="22"/>
        </w:rPr>
        <w:t xml:space="preserve">de </w:t>
      </w:r>
      <w:r w:rsidR="00A36303" w:rsidRPr="009B591A">
        <w:rPr>
          <w:sz w:val="22"/>
        </w:rPr>
        <w:t>processen in de organisatie periodiek bijwerken en evalueren. Door het doorlopen van de Plan-Do-Check-Act stuurcyclus zorg</w:t>
      </w:r>
      <w:r w:rsidRPr="009B591A">
        <w:rPr>
          <w:sz w:val="22"/>
        </w:rPr>
        <w:t>en wij</w:t>
      </w:r>
      <w:r w:rsidR="00A36303" w:rsidRPr="009B591A">
        <w:rPr>
          <w:sz w:val="22"/>
        </w:rPr>
        <w:t xml:space="preserve"> ervoor dat </w:t>
      </w:r>
      <w:r w:rsidRPr="009B591A">
        <w:rPr>
          <w:sz w:val="22"/>
        </w:rPr>
        <w:t>wij</w:t>
      </w:r>
      <w:r w:rsidR="00A36303" w:rsidRPr="009B591A">
        <w:rPr>
          <w:sz w:val="22"/>
        </w:rPr>
        <w:t xml:space="preserve"> werk</w:t>
      </w:r>
      <w:r w:rsidRPr="009B591A">
        <w:rPr>
          <w:sz w:val="22"/>
        </w:rPr>
        <w:t>en</w:t>
      </w:r>
      <w:r w:rsidR="00A36303" w:rsidRPr="009B591A">
        <w:rPr>
          <w:sz w:val="22"/>
        </w:rPr>
        <w:t xml:space="preserve"> aan voortdurende verbetering</w:t>
      </w:r>
      <w:r w:rsidRPr="009B591A">
        <w:rPr>
          <w:sz w:val="22"/>
        </w:rPr>
        <w:t xml:space="preserve"> van onze CO</w:t>
      </w:r>
      <w:r w:rsidRPr="009B591A">
        <w:rPr>
          <w:sz w:val="22"/>
          <w:vertAlign w:val="subscript"/>
        </w:rPr>
        <w:t>2</w:t>
      </w:r>
      <w:r w:rsidR="000A72F8">
        <w:rPr>
          <w:sz w:val="22"/>
        </w:rPr>
        <w:t>-</w:t>
      </w:r>
      <w:r w:rsidRPr="009B591A">
        <w:rPr>
          <w:sz w:val="22"/>
        </w:rPr>
        <w:t>prestaties.</w:t>
      </w:r>
      <w:r w:rsidR="00A36303" w:rsidRPr="009B591A">
        <w:rPr>
          <w:sz w:val="22"/>
        </w:rPr>
        <w:t xml:space="preserve"> </w:t>
      </w:r>
    </w:p>
    <w:p w14:paraId="0191F576" w14:textId="77777777" w:rsidR="00A36303" w:rsidRDefault="00A36303" w:rsidP="002C6463"/>
    <w:p w14:paraId="57825B8D" w14:textId="77777777" w:rsidR="00A36303" w:rsidRDefault="007E4FC3" w:rsidP="002C6463">
      <w:r>
        <w:rPr>
          <w:noProof/>
        </w:rPr>
        <w:drawing>
          <wp:inline distT="0" distB="0" distL="0" distR="0" wp14:anchorId="08E663DA" wp14:editId="0991560D">
            <wp:extent cx="5762625" cy="2872740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F0618" w14:textId="77777777" w:rsidR="00A36303" w:rsidRDefault="00A36303" w:rsidP="002C6463"/>
    <w:p w14:paraId="58998BCD" w14:textId="77777777" w:rsidR="00A36303" w:rsidRPr="009B591A" w:rsidRDefault="00A36303" w:rsidP="007E4FC3">
      <w:pPr>
        <w:rPr>
          <w:sz w:val="22"/>
        </w:rPr>
      </w:pPr>
    </w:p>
    <w:p w14:paraId="15952372" w14:textId="77777777" w:rsidR="009A5AA4" w:rsidRPr="009B591A" w:rsidRDefault="007E4FC3" w:rsidP="007E4FC3">
      <w:pPr>
        <w:rPr>
          <w:sz w:val="22"/>
        </w:rPr>
      </w:pPr>
      <w:r w:rsidRPr="009B591A">
        <w:rPr>
          <w:sz w:val="22"/>
        </w:rPr>
        <w:t xml:space="preserve">Minimaal eenmaal per jaar buigt, onder verantwoordelijkheid van de directie, de organisatie zich over het functioneren van het </w:t>
      </w:r>
      <w:proofErr w:type="spellStart"/>
      <w:r w:rsidR="000A72F8">
        <w:rPr>
          <w:sz w:val="22"/>
        </w:rPr>
        <w:t>EnMS</w:t>
      </w:r>
      <w:proofErr w:type="spellEnd"/>
      <w:r w:rsidRPr="009B591A">
        <w:rPr>
          <w:sz w:val="22"/>
        </w:rPr>
        <w:t xml:space="preserve">. De directiebeoordeling vormt </w:t>
      </w:r>
      <w:r w:rsidR="003B1608">
        <w:rPr>
          <w:sz w:val="22"/>
        </w:rPr>
        <w:t xml:space="preserve">samen met </w:t>
      </w:r>
      <w:r w:rsidR="000A72F8">
        <w:rPr>
          <w:sz w:val="22"/>
        </w:rPr>
        <w:t>de</w:t>
      </w:r>
      <w:r w:rsidR="003B1608">
        <w:rPr>
          <w:sz w:val="22"/>
        </w:rPr>
        <w:t xml:space="preserve"> energiebeoordeling </w:t>
      </w:r>
      <w:r w:rsidRPr="009B591A">
        <w:rPr>
          <w:sz w:val="22"/>
        </w:rPr>
        <w:t>mede de input tot voortdurend verbeteren.</w:t>
      </w:r>
    </w:p>
    <w:p w14:paraId="157D9C71" w14:textId="77777777" w:rsidR="007E4FC3" w:rsidRDefault="007E4FC3" w:rsidP="007E4FC3">
      <w:r>
        <w:br w:type="page"/>
      </w:r>
    </w:p>
    <w:p w14:paraId="0EE74E3B" w14:textId="77777777" w:rsidR="007E4FC3" w:rsidRPr="009A5AA4" w:rsidRDefault="007E4FC3" w:rsidP="009A5AA4">
      <w:pPr>
        <w:pStyle w:val="Lijstalinea"/>
        <w:tabs>
          <w:tab w:val="left" w:pos="142"/>
          <w:tab w:val="left" w:pos="709"/>
          <w:tab w:val="right" w:pos="8931"/>
        </w:tabs>
        <w:ind w:left="0"/>
        <w:rPr>
          <w:rFonts w:ascii="Arial" w:eastAsia="Times New Roman" w:hAnsi="Arial" w:cs="Times New Roman"/>
          <w:sz w:val="24"/>
          <w:szCs w:val="24"/>
          <w:lang w:eastAsia="nl-NL"/>
        </w:rPr>
        <w:sectPr w:rsidR="007E4FC3" w:rsidRPr="009A5AA4" w:rsidSect="006367F0">
          <w:foot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B0E33B" w14:textId="77777777" w:rsidR="00626181" w:rsidRPr="00EF78CD" w:rsidRDefault="00545355" w:rsidP="00626181">
      <w:pPr>
        <w:pStyle w:val="Kop1"/>
      </w:pPr>
      <w:bookmarkStart w:id="13" w:name="_Toc485194656"/>
      <w:r w:rsidRPr="00EF78CD">
        <w:lastRenderedPageBreak/>
        <w:t>7</w:t>
      </w:r>
      <w:r w:rsidR="00626181" w:rsidRPr="00EF78CD">
        <w:t>.</w:t>
      </w:r>
      <w:r w:rsidR="00626181" w:rsidRPr="00EF78CD">
        <w:tab/>
        <w:t>Actieplan: verantwoordelijkheden, taakstellingen en budget</w:t>
      </w:r>
      <w:bookmarkEnd w:id="13"/>
    </w:p>
    <w:p w14:paraId="4F0A384F" w14:textId="77777777" w:rsidR="00626181" w:rsidRDefault="00626181" w:rsidP="00626181"/>
    <w:p w14:paraId="561EFB6D" w14:textId="77777777" w:rsidR="00626181" w:rsidRPr="009B591A" w:rsidRDefault="00545355" w:rsidP="00626181">
      <w:pPr>
        <w:pStyle w:val="Kop2"/>
        <w:rPr>
          <w:sz w:val="22"/>
        </w:rPr>
      </w:pPr>
      <w:bookmarkStart w:id="14" w:name="_Toc485194657"/>
      <w:r w:rsidRPr="009B591A">
        <w:rPr>
          <w:sz w:val="22"/>
        </w:rPr>
        <w:t>7</w:t>
      </w:r>
      <w:r w:rsidR="00626181" w:rsidRPr="009B591A">
        <w:rPr>
          <w:sz w:val="22"/>
        </w:rPr>
        <w:t>.1</w:t>
      </w:r>
      <w:r w:rsidR="00626181" w:rsidRPr="009B591A">
        <w:rPr>
          <w:sz w:val="22"/>
        </w:rPr>
        <w:tab/>
      </w:r>
      <w:r w:rsidR="00BE1EEC" w:rsidRPr="009B591A">
        <w:rPr>
          <w:sz w:val="22"/>
        </w:rPr>
        <w:t>Verantwoordelijkheden</w:t>
      </w:r>
      <w:bookmarkEnd w:id="14"/>
    </w:p>
    <w:p w14:paraId="7DA05E6F" w14:textId="77777777" w:rsidR="00626181" w:rsidRPr="009B591A" w:rsidRDefault="00626181" w:rsidP="00626181">
      <w:pPr>
        <w:rPr>
          <w:sz w:val="22"/>
        </w:rPr>
      </w:pPr>
    </w:p>
    <w:p w14:paraId="0C53C05D" w14:textId="77777777" w:rsidR="00FF488C" w:rsidRDefault="00626181" w:rsidP="00626181">
      <w:pPr>
        <w:rPr>
          <w:sz w:val="22"/>
        </w:rPr>
      </w:pPr>
      <w:r w:rsidRPr="00025460">
        <w:rPr>
          <w:sz w:val="22"/>
        </w:rPr>
        <w:t xml:space="preserve">Binnen </w:t>
      </w:r>
      <w:r w:rsidR="00E5141A">
        <w:rPr>
          <w:sz w:val="22"/>
        </w:rPr>
        <w:t>Biesot B.V.</w:t>
      </w:r>
      <w:r w:rsidRPr="00025460">
        <w:rPr>
          <w:sz w:val="22"/>
        </w:rPr>
        <w:t xml:space="preserve"> is de directie eindverantwoordelijk voor het uitvoeren van het </w:t>
      </w:r>
      <w:proofErr w:type="spellStart"/>
      <w:r w:rsidR="000A72F8" w:rsidRPr="00025460">
        <w:rPr>
          <w:sz w:val="22"/>
        </w:rPr>
        <w:t>EnM</w:t>
      </w:r>
      <w:r w:rsidR="00EE303A">
        <w:rPr>
          <w:sz w:val="22"/>
        </w:rPr>
        <w:t>A</w:t>
      </w:r>
      <w:r w:rsidR="000A72F8" w:rsidRPr="00025460">
        <w:rPr>
          <w:sz w:val="22"/>
        </w:rPr>
        <w:t>P</w:t>
      </w:r>
      <w:proofErr w:type="spellEnd"/>
      <w:r w:rsidRPr="00025460">
        <w:rPr>
          <w:sz w:val="22"/>
        </w:rPr>
        <w:t xml:space="preserve"> binnen het </w:t>
      </w:r>
      <w:proofErr w:type="spellStart"/>
      <w:r w:rsidR="000A72F8" w:rsidRPr="00025460">
        <w:rPr>
          <w:sz w:val="22"/>
        </w:rPr>
        <w:t>EnMS</w:t>
      </w:r>
      <w:proofErr w:type="spellEnd"/>
      <w:r w:rsidRPr="00025460">
        <w:rPr>
          <w:sz w:val="22"/>
        </w:rPr>
        <w:t>. De proceseigenaar is de COF.</w:t>
      </w:r>
    </w:p>
    <w:p w14:paraId="040762F7" w14:textId="77777777" w:rsidR="00626181" w:rsidRPr="009B591A" w:rsidRDefault="00626181" w:rsidP="00626181">
      <w:pPr>
        <w:rPr>
          <w:sz w:val="22"/>
        </w:rPr>
      </w:pPr>
      <w:r w:rsidRPr="00025460">
        <w:rPr>
          <w:sz w:val="22"/>
        </w:rPr>
        <w:t>Dat geldt zowel voor de projecten</w:t>
      </w:r>
      <w:r w:rsidRPr="009B591A">
        <w:rPr>
          <w:sz w:val="22"/>
        </w:rPr>
        <w:t xml:space="preserve"> als voor binnen de organisatie.</w:t>
      </w:r>
    </w:p>
    <w:p w14:paraId="2A6C5388" w14:textId="77777777" w:rsidR="00626181" w:rsidRPr="009B591A" w:rsidRDefault="00545355" w:rsidP="00626181">
      <w:pPr>
        <w:pStyle w:val="Kop2"/>
        <w:rPr>
          <w:sz w:val="22"/>
        </w:rPr>
      </w:pPr>
      <w:bookmarkStart w:id="15" w:name="_Toc485194658"/>
      <w:r w:rsidRPr="009B591A">
        <w:rPr>
          <w:sz w:val="22"/>
        </w:rPr>
        <w:t>7</w:t>
      </w:r>
      <w:r w:rsidR="00626181" w:rsidRPr="009B591A">
        <w:rPr>
          <w:sz w:val="22"/>
        </w:rPr>
        <w:t>.2</w:t>
      </w:r>
      <w:r w:rsidR="00626181" w:rsidRPr="009B591A">
        <w:rPr>
          <w:sz w:val="22"/>
        </w:rPr>
        <w:tab/>
      </w:r>
      <w:r w:rsidRPr="009B591A">
        <w:rPr>
          <w:sz w:val="22"/>
        </w:rPr>
        <w:t>Actieplan</w:t>
      </w:r>
      <w:bookmarkEnd w:id="15"/>
    </w:p>
    <w:p w14:paraId="18CD4BEB" w14:textId="77777777" w:rsidR="00626181" w:rsidRDefault="00626181" w:rsidP="00626181"/>
    <w:tbl>
      <w:tblPr>
        <w:tblStyle w:val="Tabelraster"/>
        <w:tblW w:w="14321" w:type="dxa"/>
        <w:tblLook w:val="04A0" w:firstRow="1" w:lastRow="0" w:firstColumn="1" w:lastColumn="0" w:noHBand="0" w:noVBand="1"/>
      </w:tblPr>
      <w:tblGrid>
        <w:gridCol w:w="439"/>
        <w:gridCol w:w="945"/>
        <w:gridCol w:w="2552"/>
        <w:gridCol w:w="2171"/>
        <w:gridCol w:w="2177"/>
        <w:gridCol w:w="26"/>
        <w:gridCol w:w="1900"/>
        <w:gridCol w:w="18"/>
        <w:gridCol w:w="1448"/>
        <w:gridCol w:w="10"/>
        <w:gridCol w:w="1558"/>
        <w:gridCol w:w="10"/>
        <w:gridCol w:w="1067"/>
      </w:tblGrid>
      <w:tr w:rsidR="00BB5463" w14:paraId="6DDB6F81" w14:textId="77777777" w:rsidTr="00693E71">
        <w:trPr>
          <w:trHeight w:val="377"/>
        </w:trPr>
        <w:tc>
          <w:tcPr>
            <w:tcW w:w="439" w:type="dxa"/>
            <w:tcBorders>
              <w:top w:val="nil"/>
              <w:left w:val="nil"/>
              <w:right w:val="nil"/>
            </w:tcBorders>
          </w:tcPr>
          <w:p w14:paraId="16E6431A" w14:textId="77777777" w:rsidR="00BB5463" w:rsidRPr="00626181" w:rsidRDefault="00BB5463" w:rsidP="00626181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 w14:paraId="1AA8EFEC" w14:textId="77777777" w:rsidR="00BB5463" w:rsidRDefault="00BB5463" w:rsidP="0062618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E090268" w14:textId="77777777" w:rsidR="00BB5463" w:rsidRDefault="00BB5463" w:rsidP="00626181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right w:val="nil"/>
            </w:tcBorders>
          </w:tcPr>
          <w:p w14:paraId="1AAE292C" w14:textId="77777777" w:rsidR="00BB5463" w:rsidRDefault="00BB5463" w:rsidP="00626181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right w:val="nil"/>
            </w:tcBorders>
          </w:tcPr>
          <w:p w14:paraId="266E4B36" w14:textId="77777777" w:rsidR="00BB5463" w:rsidRDefault="00BB5463" w:rsidP="00626181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right w:val="nil"/>
            </w:tcBorders>
          </w:tcPr>
          <w:p w14:paraId="7048225E" w14:textId="77777777" w:rsidR="00BB5463" w:rsidRDefault="00BB5463" w:rsidP="00626181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</w:tcBorders>
          </w:tcPr>
          <w:p w14:paraId="1A5B627E" w14:textId="77777777" w:rsidR="00BB5463" w:rsidRDefault="00BB5463" w:rsidP="00626181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3"/>
            <w:vAlign w:val="center"/>
          </w:tcPr>
          <w:p w14:paraId="3EDE3671" w14:textId="77777777" w:rsidR="00BB5463" w:rsidRPr="00BB5463" w:rsidRDefault="00BB5463" w:rsidP="000A72F8">
            <w:pPr>
              <w:jc w:val="center"/>
              <w:rPr>
                <w:b/>
                <w:sz w:val="16"/>
                <w:szCs w:val="16"/>
              </w:rPr>
            </w:pPr>
            <w:r w:rsidRPr="00BB5463">
              <w:rPr>
                <w:b/>
                <w:sz w:val="16"/>
                <w:szCs w:val="16"/>
              </w:rPr>
              <w:t>Status</w:t>
            </w:r>
          </w:p>
        </w:tc>
      </w:tr>
      <w:tr w:rsidR="00626181" w14:paraId="33B8B1F0" w14:textId="77777777" w:rsidTr="00693E71">
        <w:trPr>
          <w:trHeight w:val="695"/>
        </w:trPr>
        <w:tc>
          <w:tcPr>
            <w:tcW w:w="439" w:type="dxa"/>
            <w:vAlign w:val="center"/>
          </w:tcPr>
          <w:p w14:paraId="16519BA1" w14:textId="77777777" w:rsidR="00626181" w:rsidRPr="00BB5463" w:rsidRDefault="00626181" w:rsidP="000A72F8">
            <w:pPr>
              <w:jc w:val="center"/>
              <w:rPr>
                <w:b/>
                <w:sz w:val="16"/>
                <w:szCs w:val="16"/>
              </w:rPr>
            </w:pPr>
            <w:r w:rsidRPr="00BB5463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945" w:type="dxa"/>
            <w:vAlign w:val="center"/>
          </w:tcPr>
          <w:p w14:paraId="53CC3B64" w14:textId="77777777" w:rsidR="00BB5463" w:rsidRPr="00BB5463" w:rsidRDefault="00626181" w:rsidP="000A72F8">
            <w:pPr>
              <w:jc w:val="center"/>
              <w:rPr>
                <w:b/>
                <w:sz w:val="16"/>
                <w:szCs w:val="16"/>
              </w:rPr>
            </w:pPr>
            <w:r w:rsidRPr="00BB5463">
              <w:rPr>
                <w:b/>
                <w:sz w:val="16"/>
                <w:szCs w:val="16"/>
              </w:rPr>
              <w:t>Dat</w:t>
            </w:r>
            <w:r w:rsidR="00BB5463" w:rsidRPr="00BB5463">
              <w:rPr>
                <w:b/>
                <w:sz w:val="16"/>
                <w:szCs w:val="16"/>
              </w:rPr>
              <w:t>um</w:t>
            </w:r>
          </w:p>
          <w:p w14:paraId="5D0F453E" w14:textId="77777777" w:rsidR="00626181" w:rsidRPr="00BB5463" w:rsidRDefault="00626181" w:rsidP="000A72F8">
            <w:pPr>
              <w:jc w:val="center"/>
              <w:rPr>
                <w:b/>
                <w:sz w:val="16"/>
                <w:szCs w:val="16"/>
              </w:rPr>
            </w:pPr>
            <w:r w:rsidRPr="00BB5463">
              <w:rPr>
                <w:b/>
                <w:sz w:val="16"/>
                <w:szCs w:val="16"/>
              </w:rPr>
              <w:t>invoer</w:t>
            </w:r>
          </w:p>
        </w:tc>
        <w:tc>
          <w:tcPr>
            <w:tcW w:w="2552" w:type="dxa"/>
            <w:vAlign w:val="center"/>
          </w:tcPr>
          <w:p w14:paraId="2DE0342A" w14:textId="77777777" w:rsidR="00626181" w:rsidRPr="00BB5463" w:rsidRDefault="00626181" w:rsidP="000A72F8">
            <w:pPr>
              <w:jc w:val="center"/>
              <w:rPr>
                <w:b/>
                <w:sz w:val="16"/>
                <w:szCs w:val="16"/>
              </w:rPr>
            </w:pPr>
            <w:r w:rsidRPr="00BB5463">
              <w:rPr>
                <w:b/>
                <w:sz w:val="16"/>
                <w:szCs w:val="16"/>
              </w:rPr>
              <w:t xml:space="preserve">Actie / </w:t>
            </w:r>
            <w:r w:rsidR="000A72F8">
              <w:rPr>
                <w:b/>
                <w:sz w:val="16"/>
                <w:szCs w:val="16"/>
              </w:rPr>
              <w:t>d</w:t>
            </w:r>
            <w:r w:rsidRPr="00BB5463">
              <w:rPr>
                <w:b/>
                <w:sz w:val="16"/>
                <w:szCs w:val="16"/>
              </w:rPr>
              <w:t>oelstelling</w:t>
            </w:r>
          </w:p>
          <w:p w14:paraId="0D3E0488" w14:textId="77777777" w:rsidR="00626181" w:rsidRPr="00BB5463" w:rsidRDefault="00626181" w:rsidP="000A7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14:paraId="1F407DA5" w14:textId="77777777" w:rsidR="00626181" w:rsidRPr="00BB5463" w:rsidRDefault="00626181" w:rsidP="000A72F8">
            <w:pPr>
              <w:jc w:val="center"/>
              <w:rPr>
                <w:b/>
                <w:sz w:val="16"/>
                <w:szCs w:val="16"/>
              </w:rPr>
            </w:pPr>
            <w:r w:rsidRPr="00BB5463">
              <w:rPr>
                <w:b/>
                <w:sz w:val="16"/>
                <w:szCs w:val="16"/>
              </w:rPr>
              <w:t>Mogelijke CO</w:t>
            </w:r>
            <w:r w:rsidRPr="00892252">
              <w:rPr>
                <w:b/>
                <w:sz w:val="16"/>
                <w:szCs w:val="16"/>
                <w:vertAlign w:val="subscript"/>
              </w:rPr>
              <w:t>2</w:t>
            </w:r>
            <w:r w:rsidRPr="00BB5463">
              <w:rPr>
                <w:b/>
                <w:sz w:val="16"/>
                <w:szCs w:val="16"/>
              </w:rPr>
              <w:t>-reductie of energiebesparing (%)</w:t>
            </w:r>
          </w:p>
        </w:tc>
        <w:tc>
          <w:tcPr>
            <w:tcW w:w="2203" w:type="dxa"/>
            <w:gridSpan w:val="2"/>
            <w:vAlign w:val="center"/>
          </w:tcPr>
          <w:p w14:paraId="0820EB2D" w14:textId="77777777" w:rsidR="00626181" w:rsidRPr="00BB5463" w:rsidRDefault="00626181" w:rsidP="000A72F8">
            <w:pPr>
              <w:jc w:val="center"/>
              <w:rPr>
                <w:b/>
                <w:sz w:val="16"/>
                <w:szCs w:val="16"/>
              </w:rPr>
            </w:pPr>
            <w:r w:rsidRPr="00BB5463">
              <w:rPr>
                <w:b/>
                <w:sz w:val="16"/>
                <w:szCs w:val="16"/>
              </w:rPr>
              <w:t>Benodigde middelen en budget</w:t>
            </w:r>
          </w:p>
        </w:tc>
        <w:tc>
          <w:tcPr>
            <w:tcW w:w="1918" w:type="dxa"/>
            <w:gridSpan w:val="2"/>
            <w:vAlign w:val="center"/>
          </w:tcPr>
          <w:p w14:paraId="71EAD4B8" w14:textId="77777777" w:rsidR="00626181" w:rsidRDefault="00BB5463" w:rsidP="000A72F8">
            <w:pPr>
              <w:jc w:val="center"/>
              <w:rPr>
                <w:b/>
                <w:sz w:val="16"/>
                <w:szCs w:val="16"/>
              </w:rPr>
            </w:pPr>
            <w:r w:rsidRPr="00BB5463">
              <w:rPr>
                <w:b/>
                <w:sz w:val="16"/>
                <w:szCs w:val="16"/>
              </w:rPr>
              <w:t>Verantwoordelijke</w:t>
            </w:r>
          </w:p>
          <w:p w14:paraId="58EF7999" w14:textId="77777777" w:rsidR="00BB5463" w:rsidRPr="00BB5463" w:rsidRDefault="00BB5463" w:rsidP="000A7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eventueel betrokken belanghebbenden</w:t>
            </w:r>
          </w:p>
        </w:tc>
        <w:tc>
          <w:tcPr>
            <w:tcW w:w="1458" w:type="dxa"/>
            <w:gridSpan w:val="2"/>
            <w:vAlign w:val="center"/>
          </w:tcPr>
          <w:p w14:paraId="7618CC01" w14:textId="77777777" w:rsidR="00626181" w:rsidRPr="00BB5463" w:rsidRDefault="00BB5463" w:rsidP="000A72F8">
            <w:pPr>
              <w:jc w:val="center"/>
              <w:rPr>
                <w:b/>
                <w:sz w:val="16"/>
                <w:szCs w:val="16"/>
              </w:rPr>
            </w:pPr>
            <w:r w:rsidRPr="00BB5463">
              <w:rPr>
                <w:b/>
                <w:sz w:val="16"/>
                <w:szCs w:val="16"/>
              </w:rPr>
              <w:t>Streefdatum</w:t>
            </w:r>
          </w:p>
        </w:tc>
        <w:tc>
          <w:tcPr>
            <w:tcW w:w="1568" w:type="dxa"/>
            <w:gridSpan w:val="2"/>
            <w:tcBorders>
              <w:right w:val="dashSmallGap" w:sz="4" w:space="0" w:color="auto"/>
            </w:tcBorders>
            <w:vAlign w:val="center"/>
          </w:tcPr>
          <w:p w14:paraId="30573202" w14:textId="77777777" w:rsidR="00626181" w:rsidRPr="00BB5463" w:rsidRDefault="00BB5463" w:rsidP="000A72F8">
            <w:pPr>
              <w:jc w:val="center"/>
              <w:rPr>
                <w:b/>
                <w:sz w:val="16"/>
                <w:szCs w:val="16"/>
              </w:rPr>
            </w:pPr>
            <w:r w:rsidRPr="00BB5463">
              <w:rPr>
                <w:b/>
                <w:sz w:val="16"/>
                <w:szCs w:val="16"/>
              </w:rPr>
              <w:t>Gerealiseerd</w:t>
            </w:r>
          </w:p>
          <w:p w14:paraId="1C264315" w14:textId="77777777" w:rsidR="00BB5463" w:rsidRPr="00BB5463" w:rsidRDefault="00BB5463" w:rsidP="000A72F8">
            <w:pPr>
              <w:jc w:val="center"/>
              <w:rPr>
                <w:b/>
                <w:sz w:val="16"/>
                <w:szCs w:val="16"/>
              </w:rPr>
            </w:pPr>
            <w:r w:rsidRPr="00BB5463">
              <w:rPr>
                <w:b/>
                <w:sz w:val="16"/>
                <w:szCs w:val="16"/>
              </w:rPr>
              <w:t>Gecommuniceerd</w:t>
            </w:r>
          </w:p>
          <w:p w14:paraId="02E833A1" w14:textId="77777777" w:rsidR="00BB5463" w:rsidRPr="00BB5463" w:rsidRDefault="00BB5463" w:rsidP="000A72F8">
            <w:pPr>
              <w:jc w:val="center"/>
              <w:rPr>
                <w:b/>
                <w:sz w:val="16"/>
                <w:szCs w:val="16"/>
              </w:rPr>
            </w:pPr>
            <w:r w:rsidRPr="00BB5463">
              <w:rPr>
                <w:b/>
                <w:sz w:val="16"/>
                <w:szCs w:val="16"/>
              </w:rPr>
              <w:t>Gedocumenteerd</w:t>
            </w:r>
          </w:p>
        </w:tc>
        <w:tc>
          <w:tcPr>
            <w:tcW w:w="1067" w:type="dxa"/>
            <w:tcBorders>
              <w:left w:val="dashSmallGap" w:sz="4" w:space="0" w:color="auto"/>
            </w:tcBorders>
            <w:vAlign w:val="center"/>
          </w:tcPr>
          <w:p w14:paraId="21116768" w14:textId="77777777" w:rsidR="00626181" w:rsidRPr="00BB5463" w:rsidRDefault="00BB5463" w:rsidP="000A72F8">
            <w:pPr>
              <w:jc w:val="center"/>
              <w:rPr>
                <w:b/>
                <w:sz w:val="16"/>
                <w:szCs w:val="16"/>
              </w:rPr>
            </w:pPr>
            <w:r w:rsidRPr="00BB5463">
              <w:rPr>
                <w:b/>
                <w:sz w:val="16"/>
                <w:szCs w:val="16"/>
              </w:rPr>
              <w:t>Datum</w:t>
            </w:r>
          </w:p>
        </w:tc>
      </w:tr>
      <w:tr w:rsidR="00303FF5" w14:paraId="4768BC59" w14:textId="77777777" w:rsidTr="00693E71">
        <w:trPr>
          <w:trHeight w:val="567"/>
        </w:trPr>
        <w:tc>
          <w:tcPr>
            <w:tcW w:w="439" w:type="dxa"/>
            <w:vAlign w:val="center"/>
          </w:tcPr>
          <w:p w14:paraId="4F8F14A9" w14:textId="77777777" w:rsidR="00303FF5" w:rsidRPr="00626181" w:rsidRDefault="00303FF5" w:rsidP="005B72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45" w:type="dxa"/>
            <w:vAlign w:val="center"/>
          </w:tcPr>
          <w:p w14:paraId="3F187462" w14:textId="77777777" w:rsidR="00303FF5" w:rsidRPr="00626181" w:rsidRDefault="00A64E3D" w:rsidP="005B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Mei </w:t>
            </w:r>
            <w:r w:rsidR="00EE303A">
              <w:rPr>
                <w:sz w:val="16"/>
                <w:szCs w:val="16"/>
              </w:rPr>
              <w:t>2017</w:t>
            </w:r>
          </w:p>
        </w:tc>
        <w:tc>
          <w:tcPr>
            <w:tcW w:w="2552" w:type="dxa"/>
          </w:tcPr>
          <w:p w14:paraId="2835970A" w14:textId="77777777" w:rsidR="00303FF5" w:rsidRDefault="00693E71" w:rsidP="005B72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Zonnepanelen. Daarna pas o</w:t>
            </w:r>
            <w:r w:rsidR="00303FF5">
              <w:rPr>
                <w:rFonts w:ascii="Times New Roman" w:hAnsi="Times New Roman"/>
                <w:sz w:val="20"/>
              </w:rPr>
              <w:t>nderzoek overstappen op groene stroom</w:t>
            </w:r>
          </w:p>
          <w:p w14:paraId="2AF02065" w14:textId="77777777" w:rsidR="00693E71" w:rsidRPr="004F025A" w:rsidRDefault="00693E71" w:rsidP="005B72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</w:tcPr>
          <w:p w14:paraId="59177A49" w14:textId="77777777" w:rsidR="00303FF5" w:rsidRPr="004F025A" w:rsidRDefault="00303FF5" w:rsidP="005B72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100% </w:t>
            </w:r>
            <w:r w:rsidR="00693E71">
              <w:rPr>
                <w:rFonts w:ascii="Times New Roman" w:hAnsi="Times New Roman"/>
                <w:sz w:val="20"/>
              </w:rPr>
              <w:t xml:space="preserve">reductie </w:t>
            </w:r>
            <w:r>
              <w:rPr>
                <w:rFonts w:ascii="Times New Roman" w:hAnsi="Times New Roman"/>
                <w:sz w:val="20"/>
              </w:rPr>
              <w:t>scope</w:t>
            </w:r>
            <w:r w:rsidR="00693E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77" w:type="dxa"/>
          </w:tcPr>
          <w:p w14:paraId="74BB3A2D" w14:textId="77777777" w:rsidR="00303FF5" w:rsidRPr="004F025A" w:rsidRDefault="00303FF5" w:rsidP="005B72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Inkoop</w:t>
            </w:r>
          </w:p>
        </w:tc>
        <w:tc>
          <w:tcPr>
            <w:tcW w:w="1926" w:type="dxa"/>
            <w:gridSpan w:val="2"/>
          </w:tcPr>
          <w:p w14:paraId="4DB3D39F" w14:textId="77777777" w:rsidR="00303FF5" w:rsidRPr="00762496" w:rsidRDefault="00303FF5" w:rsidP="005B727E">
            <w:pPr>
              <w:rPr>
                <w:rFonts w:ascii="Times New Roman" w:hAnsi="Times New Roman"/>
                <w:b/>
                <w:sz w:val="20"/>
              </w:rPr>
            </w:pPr>
            <w:r w:rsidRPr="00762496">
              <w:rPr>
                <w:rFonts w:ascii="Times New Roman" w:hAnsi="Times New Roman"/>
                <w:b/>
                <w:sz w:val="20"/>
              </w:rPr>
              <w:t>Directie</w:t>
            </w:r>
          </w:p>
          <w:p w14:paraId="06CA5D99" w14:textId="77777777" w:rsidR="00303FF5" w:rsidRPr="004F025A" w:rsidRDefault="00A64E3D" w:rsidP="005B72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Leverancier Nuon</w:t>
            </w:r>
          </w:p>
        </w:tc>
        <w:tc>
          <w:tcPr>
            <w:tcW w:w="1466" w:type="dxa"/>
            <w:gridSpan w:val="2"/>
          </w:tcPr>
          <w:p w14:paraId="1C755A1A" w14:textId="77777777" w:rsidR="00303FF5" w:rsidRDefault="00693E71" w:rsidP="005B72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Zonnepanelen </w:t>
            </w:r>
            <w:r w:rsidR="00303FF5">
              <w:rPr>
                <w:rFonts w:ascii="Times New Roman" w:hAnsi="Times New Roman"/>
                <w:sz w:val="20"/>
              </w:rPr>
              <w:t>201</w:t>
            </w:r>
            <w:r w:rsidR="00EE303A">
              <w:rPr>
                <w:rFonts w:ascii="Times New Roman" w:hAnsi="Times New Roman"/>
                <w:sz w:val="20"/>
              </w:rPr>
              <w:t>8</w:t>
            </w:r>
          </w:p>
          <w:p w14:paraId="5D0E4EAB" w14:textId="77777777" w:rsidR="00693E71" w:rsidRPr="004F025A" w:rsidRDefault="00693E71" w:rsidP="005B72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8" w:type="dxa"/>
            <w:gridSpan w:val="2"/>
            <w:tcBorders>
              <w:right w:val="dashSmallGap" w:sz="4" w:space="0" w:color="auto"/>
            </w:tcBorders>
            <w:vAlign w:val="center"/>
          </w:tcPr>
          <w:p w14:paraId="08ECCAF2" w14:textId="77777777" w:rsidR="00303FF5" w:rsidRPr="00626181" w:rsidRDefault="00303FF5" w:rsidP="005B727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left w:val="dashSmallGap" w:sz="4" w:space="0" w:color="auto"/>
            </w:tcBorders>
            <w:vAlign w:val="center"/>
          </w:tcPr>
          <w:p w14:paraId="7F324AB3" w14:textId="77777777" w:rsidR="00303FF5" w:rsidRPr="00626181" w:rsidRDefault="00303FF5" w:rsidP="005B727E">
            <w:pPr>
              <w:rPr>
                <w:sz w:val="16"/>
                <w:szCs w:val="16"/>
              </w:rPr>
            </w:pPr>
          </w:p>
        </w:tc>
      </w:tr>
      <w:tr w:rsidR="00A64E3D" w14:paraId="2715B932" w14:textId="77777777" w:rsidTr="00693E71">
        <w:trPr>
          <w:trHeight w:val="567"/>
        </w:trPr>
        <w:tc>
          <w:tcPr>
            <w:tcW w:w="439" w:type="dxa"/>
            <w:vAlign w:val="center"/>
          </w:tcPr>
          <w:p w14:paraId="180E7DF9" w14:textId="77777777" w:rsidR="00A64E3D" w:rsidRPr="00626181" w:rsidRDefault="00A64E3D" w:rsidP="00A64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45" w:type="dxa"/>
            <w:vAlign w:val="center"/>
          </w:tcPr>
          <w:p w14:paraId="7F03728D" w14:textId="77777777" w:rsidR="00A64E3D" w:rsidRPr="00626181" w:rsidRDefault="00A64E3D" w:rsidP="00A64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 2017</w:t>
            </w:r>
          </w:p>
        </w:tc>
        <w:tc>
          <w:tcPr>
            <w:tcW w:w="2552" w:type="dxa"/>
          </w:tcPr>
          <w:p w14:paraId="424E74CC" w14:textId="77777777" w:rsidR="00A64E3D" w:rsidRPr="004F025A" w:rsidRDefault="00A64E3D" w:rsidP="00A64E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Personeel instrueren bij het zuinig gebruik van </w:t>
            </w:r>
            <w:proofErr w:type="spellStart"/>
            <w:r w:rsidR="0024510B">
              <w:rPr>
                <w:rFonts w:ascii="Times New Roman" w:hAnsi="Times New Roman"/>
                <w:sz w:val="20"/>
              </w:rPr>
              <w:t>voer</w:t>
            </w:r>
            <w:r w:rsidR="00FF488C">
              <w:rPr>
                <w:rFonts w:ascii="Times New Roman" w:hAnsi="Times New Roman"/>
                <w:sz w:val="20"/>
              </w:rPr>
              <w:t>-</w:t>
            </w:r>
            <w:r w:rsidR="0024510B">
              <w:rPr>
                <w:rFonts w:ascii="Times New Roman" w:hAnsi="Times New Roman"/>
                <w:sz w:val="20"/>
              </w:rPr>
              <w:t>tuigen</w:t>
            </w:r>
            <w:proofErr w:type="spellEnd"/>
            <w:r w:rsidR="0024510B">
              <w:rPr>
                <w:rFonts w:ascii="Times New Roman" w:hAnsi="Times New Roman"/>
                <w:sz w:val="20"/>
              </w:rPr>
              <w:t xml:space="preserve"> en mobiele werktuigen </w:t>
            </w:r>
          </w:p>
        </w:tc>
        <w:tc>
          <w:tcPr>
            <w:tcW w:w="2171" w:type="dxa"/>
          </w:tcPr>
          <w:p w14:paraId="56E38D66" w14:textId="77777777" w:rsidR="00A64E3D" w:rsidRPr="004F025A" w:rsidRDefault="00A64E3D" w:rsidP="00A64E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693E71">
              <w:rPr>
                <w:rFonts w:ascii="Times New Roman" w:hAnsi="Times New Roman"/>
                <w:sz w:val="20"/>
              </w:rPr>
              <w:t xml:space="preserve">,0 </w:t>
            </w:r>
            <w:r>
              <w:rPr>
                <w:rFonts w:ascii="Times New Roman" w:hAnsi="Times New Roman"/>
                <w:sz w:val="20"/>
              </w:rPr>
              <w:t>% reductie</w:t>
            </w:r>
            <w:r w:rsidR="0024510B">
              <w:rPr>
                <w:rFonts w:ascii="Times New Roman" w:hAnsi="Times New Roman"/>
                <w:sz w:val="20"/>
              </w:rPr>
              <w:t xml:space="preserve"> scope 1 </w:t>
            </w:r>
          </w:p>
        </w:tc>
        <w:tc>
          <w:tcPr>
            <w:tcW w:w="2177" w:type="dxa"/>
          </w:tcPr>
          <w:p w14:paraId="72B47358" w14:textId="77777777" w:rsidR="00FF488C" w:rsidRDefault="00A64E3D" w:rsidP="00FF48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Stationair draaien verminderen</w:t>
            </w:r>
            <w:r w:rsidR="00FF488C">
              <w:rPr>
                <w:rFonts w:ascii="Times New Roman" w:hAnsi="Times New Roman"/>
                <w:sz w:val="20"/>
              </w:rPr>
              <w:t xml:space="preserve">. </w:t>
            </w:r>
            <w:r w:rsidR="00C15FEA">
              <w:rPr>
                <w:rFonts w:ascii="Times New Roman" w:hAnsi="Times New Roman"/>
                <w:sz w:val="20"/>
              </w:rPr>
              <w:t>Tool</w:t>
            </w:r>
            <w:r w:rsidR="00FF488C">
              <w:rPr>
                <w:rFonts w:ascii="Times New Roman" w:hAnsi="Times New Roman"/>
                <w:sz w:val="20"/>
              </w:rPr>
              <w:t>-</w:t>
            </w:r>
            <w:r w:rsidR="00C15FEA">
              <w:rPr>
                <w:rFonts w:ascii="Times New Roman" w:hAnsi="Times New Roman"/>
                <w:sz w:val="20"/>
              </w:rPr>
              <w:t>boxen</w:t>
            </w:r>
            <w:r w:rsidR="00FF488C">
              <w:rPr>
                <w:rFonts w:ascii="Times New Roman" w:hAnsi="Times New Roman"/>
                <w:sz w:val="20"/>
              </w:rPr>
              <w:t xml:space="preserve">. </w:t>
            </w:r>
            <w:r w:rsidR="00C15FEA">
              <w:rPr>
                <w:rFonts w:ascii="Times New Roman" w:hAnsi="Times New Roman"/>
                <w:sz w:val="20"/>
              </w:rPr>
              <w:t>Nieuwsbrieven</w:t>
            </w:r>
          </w:p>
          <w:p w14:paraId="0FB9E963" w14:textId="77777777" w:rsidR="00C15FEA" w:rsidRPr="004F025A" w:rsidRDefault="00C15FEA" w:rsidP="00FF48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26" w:type="dxa"/>
            <w:gridSpan w:val="2"/>
          </w:tcPr>
          <w:p w14:paraId="6A3B3C86" w14:textId="77777777" w:rsidR="00A64E3D" w:rsidRPr="004F025A" w:rsidRDefault="00A64E3D" w:rsidP="00A64E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Directie / COF</w:t>
            </w:r>
          </w:p>
        </w:tc>
        <w:tc>
          <w:tcPr>
            <w:tcW w:w="1466" w:type="dxa"/>
            <w:gridSpan w:val="2"/>
          </w:tcPr>
          <w:p w14:paraId="7D8DDE68" w14:textId="77777777" w:rsidR="00A64E3D" w:rsidRPr="004F025A" w:rsidRDefault="00A64E3D" w:rsidP="00A64E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  <w:r w:rsidR="00693E7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8" w:type="dxa"/>
            <w:gridSpan w:val="2"/>
            <w:tcBorders>
              <w:right w:val="dashSmallGap" w:sz="4" w:space="0" w:color="auto"/>
            </w:tcBorders>
            <w:vAlign w:val="center"/>
          </w:tcPr>
          <w:p w14:paraId="469A340B" w14:textId="77777777" w:rsidR="00A64E3D" w:rsidRPr="00626181" w:rsidRDefault="00A64E3D" w:rsidP="00A64E3D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left w:val="dashSmallGap" w:sz="4" w:space="0" w:color="auto"/>
            </w:tcBorders>
            <w:vAlign w:val="center"/>
          </w:tcPr>
          <w:p w14:paraId="24CB5201" w14:textId="77777777" w:rsidR="00A64E3D" w:rsidRPr="00626181" w:rsidRDefault="00A64E3D" w:rsidP="00A64E3D">
            <w:pPr>
              <w:rPr>
                <w:sz w:val="16"/>
                <w:szCs w:val="16"/>
              </w:rPr>
            </w:pPr>
          </w:p>
        </w:tc>
      </w:tr>
      <w:tr w:rsidR="00A64E3D" w14:paraId="12734A2E" w14:textId="77777777" w:rsidTr="00693E71">
        <w:trPr>
          <w:trHeight w:val="567"/>
        </w:trPr>
        <w:tc>
          <w:tcPr>
            <w:tcW w:w="439" w:type="dxa"/>
            <w:vAlign w:val="center"/>
          </w:tcPr>
          <w:p w14:paraId="076E7BEC" w14:textId="77777777" w:rsidR="00A64E3D" w:rsidRPr="00626181" w:rsidRDefault="00A64E3D" w:rsidP="00A64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45" w:type="dxa"/>
            <w:vAlign w:val="center"/>
          </w:tcPr>
          <w:p w14:paraId="3494CE86" w14:textId="77777777" w:rsidR="00A64E3D" w:rsidRPr="00626181" w:rsidRDefault="00A64E3D" w:rsidP="00A64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 2017</w:t>
            </w:r>
          </w:p>
        </w:tc>
        <w:tc>
          <w:tcPr>
            <w:tcW w:w="2552" w:type="dxa"/>
          </w:tcPr>
          <w:p w14:paraId="4BC3B096" w14:textId="77777777" w:rsidR="00A64E3D" w:rsidRPr="004F025A" w:rsidRDefault="00A64E3D" w:rsidP="00A64E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Deelname aan initiatief (zie Sector- en Keteninitiatief)</w:t>
            </w:r>
          </w:p>
        </w:tc>
        <w:tc>
          <w:tcPr>
            <w:tcW w:w="2171" w:type="dxa"/>
          </w:tcPr>
          <w:p w14:paraId="2D5A5664" w14:textId="77777777" w:rsidR="00A64E3D" w:rsidRPr="004F025A" w:rsidRDefault="00A64E3D" w:rsidP="00A64E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693E71">
              <w:rPr>
                <w:rFonts w:ascii="Times New Roman" w:hAnsi="Times New Roman"/>
                <w:sz w:val="20"/>
              </w:rPr>
              <w:t xml:space="preserve">,0 </w:t>
            </w:r>
            <w:r>
              <w:rPr>
                <w:rFonts w:ascii="Times New Roman" w:hAnsi="Times New Roman"/>
                <w:sz w:val="20"/>
              </w:rPr>
              <w:t>% reductie</w:t>
            </w:r>
            <w:r w:rsidR="00C15FEA">
              <w:rPr>
                <w:rFonts w:ascii="Times New Roman" w:hAnsi="Times New Roman"/>
                <w:sz w:val="20"/>
              </w:rPr>
              <w:t xml:space="preserve"> scope 1 + </w:t>
            </w:r>
            <w:r w:rsidR="00693E71">
              <w:rPr>
                <w:rFonts w:ascii="Times New Roman" w:hAnsi="Times New Roman"/>
                <w:sz w:val="20"/>
              </w:rPr>
              <w:t xml:space="preserve">reductie van </w:t>
            </w:r>
            <w:r w:rsidR="00C15FEA">
              <w:rPr>
                <w:rFonts w:ascii="Times New Roman" w:hAnsi="Times New Roman"/>
                <w:sz w:val="20"/>
              </w:rPr>
              <w:t xml:space="preserve">scope 2 </w:t>
            </w:r>
          </w:p>
        </w:tc>
        <w:tc>
          <w:tcPr>
            <w:tcW w:w="2177" w:type="dxa"/>
          </w:tcPr>
          <w:p w14:paraId="7DB10361" w14:textId="77777777" w:rsidR="00A64E3D" w:rsidRPr="004F025A" w:rsidRDefault="00A64E3D" w:rsidP="00A64E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Budget afhankelijk van besparingsmogelijkheid</w:t>
            </w:r>
          </w:p>
        </w:tc>
        <w:tc>
          <w:tcPr>
            <w:tcW w:w="1926" w:type="dxa"/>
            <w:gridSpan w:val="2"/>
          </w:tcPr>
          <w:p w14:paraId="0ADBA444" w14:textId="77777777" w:rsidR="00A64E3D" w:rsidRPr="004F025A" w:rsidRDefault="00A64E3D" w:rsidP="00A64E3D">
            <w:pPr>
              <w:rPr>
                <w:rFonts w:ascii="Times New Roman" w:hAnsi="Times New Roman"/>
                <w:sz w:val="20"/>
              </w:rPr>
            </w:pPr>
            <w:r w:rsidRPr="00762496">
              <w:rPr>
                <w:rFonts w:ascii="Times New Roman" w:hAnsi="Times New Roman"/>
                <w:b/>
                <w:sz w:val="20"/>
              </w:rPr>
              <w:t>Directie</w:t>
            </w:r>
          </w:p>
        </w:tc>
        <w:tc>
          <w:tcPr>
            <w:tcW w:w="1466" w:type="dxa"/>
            <w:gridSpan w:val="2"/>
          </w:tcPr>
          <w:p w14:paraId="27397A47" w14:textId="77777777" w:rsidR="00A64E3D" w:rsidRPr="004F025A" w:rsidRDefault="00A64E3D" w:rsidP="00A64E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  <w:r w:rsidR="00693E71">
              <w:rPr>
                <w:rFonts w:ascii="Times New Roman" w:hAnsi="Times New Roman"/>
                <w:sz w:val="20"/>
              </w:rPr>
              <w:t>8 en verder</w:t>
            </w:r>
          </w:p>
        </w:tc>
        <w:tc>
          <w:tcPr>
            <w:tcW w:w="1568" w:type="dxa"/>
            <w:gridSpan w:val="2"/>
            <w:tcBorders>
              <w:right w:val="dashSmallGap" w:sz="4" w:space="0" w:color="auto"/>
            </w:tcBorders>
            <w:vAlign w:val="center"/>
          </w:tcPr>
          <w:p w14:paraId="6314CAC3" w14:textId="77777777" w:rsidR="00A64E3D" w:rsidRPr="00626181" w:rsidRDefault="00A64E3D" w:rsidP="00A64E3D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left w:val="dashSmallGap" w:sz="4" w:space="0" w:color="auto"/>
            </w:tcBorders>
            <w:vAlign w:val="center"/>
          </w:tcPr>
          <w:p w14:paraId="2FB373EE" w14:textId="77777777" w:rsidR="00A64E3D" w:rsidRPr="00626181" w:rsidRDefault="00A64E3D" w:rsidP="00A64E3D">
            <w:pPr>
              <w:rPr>
                <w:sz w:val="16"/>
                <w:szCs w:val="16"/>
              </w:rPr>
            </w:pPr>
          </w:p>
        </w:tc>
      </w:tr>
      <w:tr w:rsidR="0024510B" w14:paraId="616FF8A2" w14:textId="77777777" w:rsidTr="00693E71">
        <w:trPr>
          <w:trHeight w:val="567"/>
        </w:trPr>
        <w:tc>
          <w:tcPr>
            <w:tcW w:w="439" w:type="dxa"/>
            <w:vAlign w:val="center"/>
          </w:tcPr>
          <w:p w14:paraId="6BF17C95" w14:textId="77777777" w:rsidR="0024510B" w:rsidRPr="00626181" w:rsidRDefault="0024510B" w:rsidP="00245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945" w:type="dxa"/>
            <w:vAlign w:val="center"/>
          </w:tcPr>
          <w:p w14:paraId="2A4550F9" w14:textId="77777777" w:rsidR="0024510B" w:rsidRPr="00626181" w:rsidRDefault="0024510B" w:rsidP="00245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Oktober 2017</w:t>
            </w:r>
          </w:p>
        </w:tc>
        <w:tc>
          <w:tcPr>
            <w:tcW w:w="2552" w:type="dxa"/>
          </w:tcPr>
          <w:p w14:paraId="40402936" w14:textId="77777777" w:rsidR="0024510B" w:rsidRPr="004F025A" w:rsidRDefault="0024510B" w:rsidP="002451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Verduurzamen wagenpark / materieel </w:t>
            </w:r>
          </w:p>
        </w:tc>
        <w:tc>
          <w:tcPr>
            <w:tcW w:w="2171" w:type="dxa"/>
          </w:tcPr>
          <w:p w14:paraId="7879E4C4" w14:textId="77777777" w:rsidR="0024510B" w:rsidRPr="004F025A" w:rsidRDefault="00C15FEA" w:rsidP="002451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693E71">
              <w:rPr>
                <w:rFonts w:ascii="Times New Roman" w:hAnsi="Times New Roman"/>
                <w:sz w:val="20"/>
              </w:rPr>
              <w:t>,0</w:t>
            </w:r>
            <w:r>
              <w:rPr>
                <w:rFonts w:ascii="Times New Roman" w:hAnsi="Times New Roman"/>
                <w:sz w:val="20"/>
              </w:rPr>
              <w:t xml:space="preserve"> % reductie scope 1</w:t>
            </w:r>
          </w:p>
        </w:tc>
        <w:tc>
          <w:tcPr>
            <w:tcW w:w="2177" w:type="dxa"/>
          </w:tcPr>
          <w:p w14:paraId="774A1F79" w14:textId="77777777" w:rsidR="0024510B" w:rsidRPr="004F025A" w:rsidRDefault="0024510B" w:rsidP="002451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Inkoop</w:t>
            </w:r>
          </w:p>
        </w:tc>
        <w:tc>
          <w:tcPr>
            <w:tcW w:w="1926" w:type="dxa"/>
            <w:gridSpan w:val="2"/>
          </w:tcPr>
          <w:p w14:paraId="71A650ED" w14:textId="77777777" w:rsidR="0024510B" w:rsidRDefault="0024510B" w:rsidP="0024510B">
            <w:r w:rsidRPr="001B6049">
              <w:rPr>
                <w:rFonts w:ascii="Times New Roman" w:hAnsi="Times New Roman"/>
                <w:b/>
                <w:sz w:val="20"/>
              </w:rPr>
              <w:t>Directie</w:t>
            </w:r>
          </w:p>
        </w:tc>
        <w:tc>
          <w:tcPr>
            <w:tcW w:w="1466" w:type="dxa"/>
            <w:gridSpan w:val="2"/>
          </w:tcPr>
          <w:p w14:paraId="147B8A90" w14:textId="77777777" w:rsidR="0024510B" w:rsidRPr="004F025A" w:rsidRDefault="0024510B" w:rsidP="002451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  <w:r w:rsidR="00693E71">
              <w:rPr>
                <w:rFonts w:ascii="Times New Roman" w:hAnsi="Times New Roman"/>
                <w:sz w:val="20"/>
              </w:rPr>
              <w:t xml:space="preserve"> en verder</w:t>
            </w:r>
          </w:p>
        </w:tc>
        <w:tc>
          <w:tcPr>
            <w:tcW w:w="1568" w:type="dxa"/>
            <w:gridSpan w:val="2"/>
            <w:tcBorders>
              <w:right w:val="dashSmallGap" w:sz="4" w:space="0" w:color="auto"/>
            </w:tcBorders>
            <w:vAlign w:val="center"/>
          </w:tcPr>
          <w:p w14:paraId="627F7088" w14:textId="77777777" w:rsidR="0024510B" w:rsidRPr="00626181" w:rsidRDefault="0024510B" w:rsidP="0024510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left w:val="dashSmallGap" w:sz="4" w:space="0" w:color="auto"/>
            </w:tcBorders>
            <w:vAlign w:val="center"/>
          </w:tcPr>
          <w:p w14:paraId="4E0CF06A" w14:textId="77777777" w:rsidR="0024510B" w:rsidRPr="00626181" w:rsidRDefault="0024510B" w:rsidP="0024510B">
            <w:pPr>
              <w:rPr>
                <w:sz w:val="16"/>
                <w:szCs w:val="16"/>
              </w:rPr>
            </w:pPr>
          </w:p>
        </w:tc>
      </w:tr>
      <w:tr w:rsidR="00C15FEA" w14:paraId="21A0BB5A" w14:textId="77777777" w:rsidTr="00693E71">
        <w:trPr>
          <w:trHeight w:val="567"/>
        </w:trPr>
        <w:tc>
          <w:tcPr>
            <w:tcW w:w="439" w:type="dxa"/>
            <w:vAlign w:val="center"/>
          </w:tcPr>
          <w:p w14:paraId="1FA24ECC" w14:textId="77777777" w:rsidR="00C15FEA" w:rsidRDefault="00C15FEA" w:rsidP="00C15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14:paraId="30B5A9D3" w14:textId="77777777" w:rsidR="00C15FEA" w:rsidRDefault="00C15FEA" w:rsidP="00C15FEA">
            <w:r w:rsidRPr="001C2D55">
              <w:rPr>
                <w:sz w:val="16"/>
                <w:szCs w:val="16"/>
              </w:rPr>
              <w:t>Oktober 2017</w:t>
            </w:r>
          </w:p>
        </w:tc>
        <w:tc>
          <w:tcPr>
            <w:tcW w:w="2552" w:type="dxa"/>
          </w:tcPr>
          <w:p w14:paraId="4440C298" w14:textId="77777777" w:rsidR="00C15FEA" w:rsidRDefault="00C15FEA" w:rsidP="00C15F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Gedrag op projecten verbeteren </w:t>
            </w:r>
          </w:p>
        </w:tc>
        <w:tc>
          <w:tcPr>
            <w:tcW w:w="2171" w:type="dxa"/>
          </w:tcPr>
          <w:p w14:paraId="03760AE1" w14:textId="77777777" w:rsidR="00C15FEA" w:rsidRDefault="00C15FEA" w:rsidP="00C15F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1,5 % reductie scope </w:t>
            </w:r>
            <w:r w:rsidR="00693E7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77" w:type="dxa"/>
          </w:tcPr>
          <w:p w14:paraId="628BFC0E" w14:textId="77777777" w:rsidR="00C15FEA" w:rsidRDefault="00C15FEA" w:rsidP="00C15F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Manuren, inzet directie</w:t>
            </w:r>
          </w:p>
        </w:tc>
        <w:tc>
          <w:tcPr>
            <w:tcW w:w="1926" w:type="dxa"/>
            <w:gridSpan w:val="2"/>
          </w:tcPr>
          <w:p w14:paraId="2F518645" w14:textId="77777777" w:rsidR="00C15FEA" w:rsidRDefault="00C15FEA" w:rsidP="00C15FEA">
            <w:r w:rsidRPr="001B6049">
              <w:rPr>
                <w:rFonts w:ascii="Times New Roman" w:hAnsi="Times New Roman"/>
                <w:b/>
                <w:sz w:val="20"/>
              </w:rPr>
              <w:t>Directie</w:t>
            </w:r>
          </w:p>
        </w:tc>
        <w:tc>
          <w:tcPr>
            <w:tcW w:w="1466" w:type="dxa"/>
            <w:gridSpan w:val="2"/>
          </w:tcPr>
          <w:p w14:paraId="6598CF18" w14:textId="77777777" w:rsidR="00C15FEA" w:rsidRDefault="00C15FEA" w:rsidP="00C15FEA">
            <w:r w:rsidRPr="00F730BE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568" w:type="dxa"/>
            <w:gridSpan w:val="2"/>
            <w:tcBorders>
              <w:right w:val="dashSmallGap" w:sz="4" w:space="0" w:color="auto"/>
            </w:tcBorders>
            <w:vAlign w:val="center"/>
          </w:tcPr>
          <w:p w14:paraId="324DB73E" w14:textId="77777777" w:rsidR="00C15FEA" w:rsidRPr="00626181" w:rsidRDefault="00C15FEA" w:rsidP="00C15FEA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left w:val="dashSmallGap" w:sz="4" w:space="0" w:color="auto"/>
            </w:tcBorders>
            <w:vAlign w:val="center"/>
          </w:tcPr>
          <w:p w14:paraId="6A7B9219" w14:textId="77777777" w:rsidR="00C15FEA" w:rsidRPr="00626181" w:rsidRDefault="00C15FEA" w:rsidP="00C15FEA">
            <w:pPr>
              <w:rPr>
                <w:sz w:val="16"/>
                <w:szCs w:val="16"/>
              </w:rPr>
            </w:pPr>
          </w:p>
        </w:tc>
      </w:tr>
      <w:tr w:rsidR="00C15FEA" w14:paraId="73D8F9F1" w14:textId="77777777" w:rsidTr="00693E71">
        <w:trPr>
          <w:trHeight w:val="567"/>
        </w:trPr>
        <w:tc>
          <w:tcPr>
            <w:tcW w:w="439" w:type="dxa"/>
            <w:vAlign w:val="center"/>
          </w:tcPr>
          <w:p w14:paraId="2E401F3F" w14:textId="77777777" w:rsidR="00C15FEA" w:rsidRDefault="00C15FEA" w:rsidP="00C15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14:paraId="6CFB8C86" w14:textId="77777777" w:rsidR="00C15FEA" w:rsidRDefault="00C15FEA" w:rsidP="00C15FEA">
            <w:r w:rsidRPr="001C2D55">
              <w:rPr>
                <w:sz w:val="16"/>
                <w:szCs w:val="16"/>
              </w:rPr>
              <w:t>Oktober 2017</w:t>
            </w:r>
          </w:p>
        </w:tc>
        <w:tc>
          <w:tcPr>
            <w:tcW w:w="2552" w:type="dxa"/>
          </w:tcPr>
          <w:p w14:paraId="094AEC51" w14:textId="77777777" w:rsidR="00C15FEA" w:rsidRDefault="00C15FEA" w:rsidP="00C15F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Gedrag loods /werkplaats</w:t>
            </w:r>
          </w:p>
        </w:tc>
        <w:tc>
          <w:tcPr>
            <w:tcW w:w="2171" w:type="dxa"/>
          </w:tcPr>
          <w:p w14:paraId="1A5887D1" w14:textId="77777777" w:rsidR="00C15FEA" w:rsidRDefault="00C15FEA" w:rsidP="00C15F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0,5 % reductie scope</w:t>
            </w:r>
            <w:r w:rsidR="00693E71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2177" w:type="dxa"/>
          </w:tcPr>
          <w:p w14:paraId="515F0CBB" w14:textId="77777777" w:rsidR="00C15FEA" w:rsidRDefault="00C15FEA" w:rsidP="00C15F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Manuren, inzet directie</w:t>
            </w:r>
          </w:p>
        </w:tc>
        <w:tc>
          <w:tcPr>
            <w:tcW w:w="1926" w:type="dxa"/>
            <w:gridSpan w:val="2"/>
          </w:tcPr>
          <w:p w14:paraId="4678376D" w14:textId="77777777" w:rsidR="00C15FEA" w:rsidRDefault="00C15FEA" w:rsidP="00C15FEA">
            <w:r w:rsidRPr="001B6049">
              <w:rPr>
                <w:rFonts w:ascii="Times New Roman" w:hAnsi="Times New Roman"/>
                <w:b/>
                <w:sz w:val="20"/>
              </w:rPr>
              <w:t>Directie</w:t>
            </w:r>
          </w:p>
        </w:tc>
        <w:tc>
          <w:tcPr>
            <w:tcW w:w="1466" w:type="dxa"/>
            <w:gridSpan w:val="2"/>
          </w:tcPr>
          <w:p w14:paraId="0CF3341B" w14:textId="77777777" w:rsidR="00C15FEA" w:rsidRDefault="00C15FEA" w:rsidP="00C15FEA">
            <w:r w:rsidRPr="00F730BE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568" w:type="dxa"/>
            <w:gridSpan w:val="2"/>
            <w:tcBorders>
              <w:right w:val="dashSmallGap" w:sz="4" w:space="0" w:color="auto"/>
            </w:tcBorders>
            <w:vAlign w:val="center"/>
          </w:tcPr>
          <w:p w14:paraId="6922ABAD" w14:textId="77777777" w:rsidR="00C15FEA" w:rsidRPr="00626181" w:rsidRDefault="00C15FEA" w:rsidP="00C15FEA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left w:val="dashSmallGap" w:sz="4" w:space="0" w:color="auto"/>
            </w:tcBorders>
            <w:vAlign w:val="center"/>
          </w:tcPr>
          <w:p w14:paraId="7220EAB4" w14:textId="77777777" w:rsidR="00C15FEA" w:rsidRPr="00626181" w:rsidRDefault="00C15FEA" w:rsidP="00C15FEA">
            <w:pPr>
              <w:rPr>
                <w:sz w:val="16"/>
                <w:szCs w:val="16"/>
              </w:rPr>
            </w:pPr>
          </w:p>
        </w:tc>
      </w:tr>
      <w:tr w:rsidR="00C15FEA" w14:paraId="3F82D078" w14:textId="77777777" w:rsidTr="00693E71">
        <w:trPr>
          <w:trHeight w:val="567"/>
        </w:trPr>
        <w:tc>
          <w:tcPr>
            <w:tcW w:w="439" w:type="dxa"/>
            <w:vAlign w:val="center"/>
          </w:tcPr>
          <w:p w14:paraId="65F98ACF" w14:textId="77777777" w:rsidR="00C15FEA" w:rsidRDefault="00C15FEA" w:rsidP="00C15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45" w:type="dxa"/>
          </w:tcPr>
          <w:p w14:paraId="314F1592" w14:textId="77777777" w:rsidR="00C15FEA" w:rsidRDefault="00C15FEA" w:rsidP="00C15FEA">
            <w:r w:rsidRPr="001C2D55">
              <w:rPr>
                <w:sz w:val="16"/>
                <w:szCs w:val="16"/>
              </w:rPr>
              <w:t>Oktober 2017</w:t>
            </w:r>
          </w:p>
        </w:tc>
        <w:tc>
          <w:tcPr>
            <w:tcW w:w="2552" w:type="dxa"/>
          </w:tcPr>
          <w:p w14:paraId="41FB4ADF" w14:textId="77777777" w:rsidR="00C15FEA" w:rsidRPr="00C15FEA" w:rsidRDefault="00C15FEA" w:rsidP="00C15FEA">
            <w:pPr>
              <w:rPr>
                <w:rFonts w:ascii="Times New Roman" w:hAnsi="Times New Roman"/>
                <w:sz w:val="20"/>
              </w:rPr>
            </w:pPr>
            <w:r w:rsidRPr="00C15FEA">
              <w:rPr>
                <w:rFonts w:ascii="Times New Roman" w:hAnsi="Times New Roman"/>
                <w:sz w:val="20"/>
              </w:rPr>
              <w:t>Pilot nieuwe rijden voor rijdend materieel</w:t>
            </w:r>
          </w:p>
        </w:tc>
        <w:tc>
          <w:tcPr>
            <w:tcW w:w="2171" w:type="dxa"/>
          </w:tcPr>
          <w:p w14:paraId="607415C4" w14:textId="77777777" w:rsidR="00C15FEA" w:rsidRDefault="00C15FEA" w:rsidP="00C15F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693E71">
              <w:rPr>
                <w:rFonts w:ascii="Times New Roman" w:hAnsi="Times New Roman"/>
                <w:sz w:val="20"/>
              </w:rPr>
              <w:t>,0</w:t>
            </w:r>
            <w:r>
              <w:rPr>
                <w:rFonts w:ascii="Times New Roman" w:hAnsi="Times New Roman"/>
                <w:sz w:val="20"/>
              </w:rPr>
              <w:t xml:space="preserve"> % reductie scope</w:t>
            </w:r>
            <w:r w:rsidR="00693E71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2177" w:type="dxa"/>
          </w:tcPr>
          <w:p w14:paraId="6073E85A" w14:textId="77777777" w:rsidR="00C15FEA" w:rsidRDefault="00C15FEA" w:rsidP="00C15F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Manuren, inzet directie</w:t>
            </w:r>
          </w:p>
        </w:tc>
        <w:tc>
          <w:tcPr>
            <w:tcW w:w="1926" w:type="dxa"/>
            <w:gridSpan w:val="2"/>
          </w:tcPr>
          <w:p w14:paraId="59A5B0F7" w14:textId="77777777" w:rsidR="00C15FEA" w:rsidRDefault="00C15FEA" w:rsidP="00C15FEA">
            <w:r w:rsidRPr="001B6049">
              <w:rPr>
                <w:rFonts w:ascii="Times New Roman" w:hAnsi="Times New Roman"/>
                <w:b/>
                <w:sz w:val="20"/>
              </w:rPr>
              <w:t>Directie</w:t>
            </w:r>
          </w:p>
        </w:tc>
        <w:tc>
          <w:tcPr>
            <w:tcW w:w="1466" w:type="dxa"/>
            <w:gridSpan w:val="2"/>
          </w:tcPr>
          <w:p w14:paraId="4482DFA1" w14:textId="77777777" w:rsidR="00C15FEA" w:rsidRDefault="00C15FEA" w:rsidP="00C15FEA">
            <w:r w:rsidRPr="00F730BE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568" w:type="dxa"/>
            <w:gridSpan w:val="2"/>
            <w:tcBorders>
              <w:right w:val="dashSmallGap" w:sz="4" w:space="0" w:color="auto"/>
            </w:tcBorders>
            <w:vAlign w:val="center"/>
          </w:tcPr>
          <w:p w14:paraId="6BC9EC8B" w14:textId="77777777" w:rsidR="00C15FEA" w:rsidRPr="00626181" w:rsidRDefault="00C15FEA" w:rsidP="00C15FEA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left w:val="dashSmallGap" w:sz="4" w:space="0" w:color="auto"/>
            </w:tcBorders>
            <w:vAlign w:val="center"/>
          </w:tcPr>
          <w:p w14:paraId="3C846E28" w14:textId="77777777" w:rsidR="00C15FEA" w:rsidRPr="00626181" w:rsidRDefault="00C15FEA" w:rsidP="00C15FEA">
            <w:pPr>
              <w:rPr>
                <w:sz w:val="16"/>
                <w:szCs w:val="16"/>
              </w:rPr>
            </w:pPr>
          </w:p>
        </w:tc>
      </w:tr>
    </w:tbl>
    <w:p w14:paraId="18846091" w14:textId="77777777" w:rsidR="00245CF4" w:rsidRPr="00626181" w:rsidRDefault="00245CF4" w:rsidP="00626181"/>
    <w:sectPr w:rsidR="00245CF4" w:rsidRPr="00626181" w:rsidSect="00626181">
      <w:footerReference w:type="first" r:id="rId15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8B5B4" w14:textId="77777777" w:rsidR="00423830" w:rsidRDefault="00423830" w:rsidP="002A2A32">
      <w:r>
        <w:separator/>
      </w:r>
    </w:p>
  </w:endnote>
  <w:endnote w:type="continuationSeparator" w:id="0">
    <w:p w14:paraId="7807193E" w14:textId="77777777" w:rsidR="00423830" w:rsidRDefault="00423830" w:rsidP="002A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DA36" w14:textId="77777777" w:rsidR="003B1608" w:rsidRDefault="003B1608" w:rsidP="006367F0">
    <w:pPr>
      <w:pStyle w:val="Voettekst"/>
      <w:pBdr>
        <w:top w:val="single" w:sz="4" w:space="1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Energie Management Actieplan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 pagina </w:t>
    </w:r>
    <w:r w:rsidR="003637D6" w:rsidRPr="00320397">
      <w:rPr>
        <w:rFonts w:cs="Arial"/>
        <w:sz w:val="18"/>
        <w:szCs w:val="18"/>
      </w:rPr>
      <w:fldChar w:fldCharType="begin"/>
    </w:r>
    <w:r w:rsidRPr="00320397">
      <w:rPr>
        <w:rFonts w:cs="Arial"/>
        <w:sz w:val="18"/>
        <w:szCs w:val="18"/>
      </w:rPr>
      <w:instrText xml:space="preserve"> PAGE    \* MERGEFORMAT </w:instrText>
    </w:r>
    <w:r w:rsidR="003637D6" w:rsidRPr="00320397">
      <w:rPr>
        <w:rFonts w:cs="Arial"/>
        <w:sz w:val="18"/>
        <w:szCs w:val="18"/>
      </w:rPr>
      <w:fldChar w:fldCharType="separate"/>
    </w:r>
    <w:r w:rsidR="00823157">
      <w:rPr>
        <w:rFonts w:cs="Arial"/>
        <w:noProof/>
        <w:sz w:val="18"/>
        <w:szCs w:val="18"/>
      </w:rPr>
      <w:t>5</w:t>
    </w:r>
    <w:r w:rsidR="003637D6" w:rsidRPr="00320397">
      <w:rPr>
        <w:rFonts w:cs="Arial"/>
        <w:sz w:val="18"/>
        <w:szCs w:val="18"/>
      </w:rPr>
      <w:fldChar w:fldCharType="end"/>
    </w:r>
  </w:p>
  <w:p w14:paraId="0E972A94" w14:textId="77777777" w:rsidR="003B1608" w:rsidRPr="006367F0" w:rsidRDefault="003B1608" w:rsidP="006367F0">
    <w:pPr>
      <w:pStyle w:val="Voettekst"/>
      <w:pBdr>
        <w:top w:val="single" w:sz="4" w:space="1" w:color="auto"/>
      </w:pBdr>
      <w:rPr>
        <w:szCs w:val="16"/>
      </w:rPr>
    </w:pPr>
    <w:r>
      <w:rPr>
        <w:rFonts w:cs="Arial"/>
        <w:sz w:val="18"/>
        <w:szCs w:val="18"/>
      </w:rPr>
      <w:t xml:space="preserve">Status: </w:t>
    </w:r>
    <w:r w:rsidR="00DA48F9">
      <w:rPr>
        <w:rFonts w:cs="Arial"/>
        <w:sz w:val="18"/>
        <w:szCs w:val="18"/>
      </w:rPr>
      <w:t xml:space="preserve"> </w:t>
    </w:r>
    <w:r w:rsidR="00E5141A" w:rsidRPr="00E5141A">
      <w:rPr>
        <w:rFonts w:cs="Arial"/>
        <w:sz w:val="18"/>
        <w:szCs w:val="18"/>
      </w:rPr>
      <w:t>Definitief</w:t>
    </w:r>
    <w:r w:rsidR="00C15FEA">
      <w:rPr>
        <w:rFonts w:cs="Arial"/>
        <w:sz w:val="18"/>
        <w:szCs w:val="18"/>
      </w:rPr>
      <w:tab/>
    </w:r>
    <w:r w:rsidR="00C15FEA">
      <w:rPr>
        <w:rFonts w:cs="Arial"/>
        <w:sz w:val="18"/>
        <w:szCs w:val="18"/>
      </w:rPr>
      <w:tab/>
    </w:r>
    <w:r w:rsidR="00823157">
      <w:rPr>
        <w:rFonts w:cs="Arial"/>
        <w:sz w:val="18"/>
        <w:szCs w:val="18"/>
      </w:rPr>
      <w:t xml:space="preserve">versie 11-10-2017 </w:t>
    </w:r>
    <w:r w:rsidR="00C15FEA">
      <w:rPr>
        <w:rFonts w:cs="Arial"/>
        <w:sz w:val="18"/>
        <w:szCs w:val="18"/>
      </w:rPr>
      <w:tab/>
    </w:r>
    <w:r w:rsidR="00C15FEA">
      <w:rPr>
        <w:rFonts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105B" w14:textId="77777777" w:rsidR="003B1608" w:rsidRPr="002E6656" w:rsidRDefault="003B1608" w:rsidP="002E6656">
    <w:pPr>
      <w:pStyle w:val="Voettekst"/>
      <w:pBdr>
        <w:top w:val="single" w:sz="4" w:space="1" w:color="auto"/>
      </w:pBdr>
      <w:tabs>
        <w:tab w:val="clear" w:pos="4536"/>
        <w:tab w:val="clear" w:pos="9072"/>
        <w:tab w:val="center" w:pos="7088"/>
        <w:tab w:val="right" w:pos="14034"/>
      </w:tabs>
      <w:rPr>
        <w:sz w:val="18"/>
        <w:szCs w:val="18"/>
      </w:rPr>
    </w:pPr>
    <w:r w:rsidRPr="002E6656">
      <w:rPr>
        <w:sz w:val="18"/>
        <w:szCs w:val="18"/>
      </w:rPr>
      <w:t>Energie Management Actieplan</w:t>
    </w:r>
    <w:r w:rsidRPr="002E6656">
      <w:rPr>
        <w:sz w:val="18"/>
        <w:szCs w:val="18"/>
      </w:rPr>
      <w:tab/>
    </w:r>
    <w:r w:rsidRPr="002E6656">
      <w:rPr>
        <w:sz w:val="18"/>
        <w:szCs w:val="18"/>
      </w:rPr>
      <w:tab/>
      <w:t xml:space="preserve">pagina </w:t>
    </w:r>
    <w:r w:rsidR="003637D6" w:rsidRPr="002E6656">
      <w:rPr>
        <w:sz w:val="18"/>
        <w:szCs w:val="18"/>
      </w:rPr>
      <w:fldChar w:fldCharType="begin"/>
    </w:r>
    <w:r w:rsidRPr="002E6656">
      <w:rPr>
        <w:sz w:val="18"/>
        <w:szCs w:val="18"/>
      </w:rPr>
      <w:instrText xml:space="preserve"> PAGE   \* MERGEFORMAT </w:instrText>
    </w:r>
    <w:r w:rsidR="003637D6" w:rsidRPr="002E6656">
      <w:rPr>
        <w:sz w:val="18"/>
        <w:szCs w:val="18"/>
      </w:rPr>
      <w:fldChar w:fldCharType="separate"/>
    </w:r>
    <w:r w:rsidR="00823157">
      <w:rPr>
        <w:noProof/>
        <w:sz w:val="18"/>
        <w:szCs w:val="18"/>
      </w:rPr>
      <w:t>10</w:t>
    </w:r>
    <w:r w:rsidR="003637D6" w:rsidRPr="002E6656">
      <w:rPr>
        <w:sz w:val="18"/>
        <w:szCs w:val="18"/>
      </w:rPr>
      <w:fldChar w:fldCharType="end"/>
    </w:r>
  </w:p>
  <w:p w14:paraId="21951826" w14:textId="77777777" w:rsidR="003B1608" w:rsidRPr="002E6656" w:rsidRDefault="003B1608" w:rsidP="002E6656">
    <w:pPr>
      <w:pStyle w:val="Voettekst"/>
      <w:pBdr>
        <w:top w:val="single" w:sz="4" w:space="1" w:color="auto"/>
      </w:pBdr>
      <w:tabs>
        <w:tab w:val="clear" w:pos="4536"/>
        <w:tab w:val="clear" w:pos="9072"/>
        <w:tab w:val="center" w:pos="7088"/>
        <w:tab w:val="right" w:pos="14034"/>
      </w:tabs>
      <w:rPr>
        <w:sz w:val="18"/>
        <w:szCs w:val="18"/>
      </w:rPr>
    </w:pPr>
    <w:r w:rsidRPr="002E6656">
      <w:rPr>
        <w:sz w:val="18"/>
        <w:szCs w:val="18"/>
      </w:rPr>
      <w:t xml:space="preserve">Status: </w:t>
    </w:r>
    <w:r w:rsidR="00A64E3D">
      <w:rPr>
        <w:color w:val="FF0000"/>
        <w:sz w:val="18"/>
        <w:szCs w:val="18"/>
      </w:rPr>
      <w:t xml:space="preserve"> </w:t>
    </w:r>
    <w:r w:rsidR="00A64E3D" w:rsidRPr="00A64E3D">
      <w:rPr>
        <w:sz w:val="18"/>
        <w:szCs w:val="18"/>
      </w:rPr>
      <w:t>Definitief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AD41E" w14:textId="77777777" w:rsidR="00423830" w:rsidRDefault="00423830" w:rsidP="002A2A32">
      <w:r>
        <w:separator/>
      </w:r>
    </w:p>
  </w:footnote>
  <w:footnote w:type="continuationSeparator" w:id="0">
    <w:p w14:paraId="1D39F900" w14:textId="77777777" w:rsidR="00423830" w:rsidRDefault="00423830" w:rsidP="002A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56D"/>
    <w:multiLevelType w:val="hybridMultilevel"/>
    <w:tmpl w:val="953A6144"/>
    <w:lvl w:ilvl="0" w:tplc="4896F5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1685"/>
    <w:multiLevelType w:val="hybridMultilevel"/>
    <w:tmpl w:val="1D1AE37A"/>
    <w:lvl w:ilvl="0" w:tplc="E1E254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42F1"/>
    <w:multiLevelType w:val="hybridMultilevel"/>
    <w:tmpl w:val="C1D24F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09DC"/>
    <w:multiLevelType w:val="hybridMultilevel"/>
    <w:tmpl w:val="E4FC5AFE"/>
    <w:lvl w:ilvl="0" w:tplc="E1E254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F0CBE"/>
    <w:multiLevelType w:val="hybridMultilevel"/>
    <w:tmpl w:val="DF1CFA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00C8"/>
    <w:multiLevelType w:val="hybridMultilevel"/>
    <w:tmpl w:val="B754BDAA"/>
    <w:lvl w:ilvl="0" w:tplc="175A36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6258A"/>
    <w:multiLevelType w:val="hybridMultilevel"/>
    <w:tmpl w:val="8D2C3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6132B"/>
    <w:multiLevelType w:val="hybridMultilevel"/>
    <w:tmpl w:val="15E2066A"/>
    <w:lvl w:ilvl="0" w:tplc="E1E254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5A86"/>
    <w:multiLevelType w:val="hybridMultilevel"/>
    <w:tmpl w:val="21F89FF4"/>
    <w:lvl w:ilvl="0" w:tplc="E1E254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B2697"/>
    <w:multiLevelType w:val="hybridMultilevel"/>
    <w:tmpl w:val="3F145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33696"/>
    <w:multiLevelType w:val="hybridMultilevel"/>
    <w:tmpl w:val="C1D24F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03385"/>
    <w:multiLevelType w:val="hybridMultilevel"/>
    <w:tmpl w:val="78B05F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A32"/>
    <w:rsid w:val="00017D41"/>
    <w:rsid w:val="00017E6B"/>
    <w:rsid w:val="00025460"/>
    <w:rsid w:val="00045DA0"/>
    <w:rsid w:val="00056272"/>
    <w:rsid w:val="00056F54"/>
    <w:rsid w:val="00063F17"/>
    <w:rsid w:val="000A2D8A"/>
    <w:rsid w:val="000A72F8"/>
    <w:rsid w:val="000D4D78"/>
    <w:rsid w:val="000E396B"/>
    <w:rsid w:val="000E5D6E"/>
    <w:rsid w:val="00102865"/>
    <w:rsid w:val="0010603B"/>
    <w:rsid w:val="0011357D"/>
    <w:rsid w:val="00117081"/>
    <w:rsid w:val="001221A4"/>
    <w:rsid w:val="00133BE2"/>
    <w:rsid w:val="00161DA3"/>
    <w:rsid w:val="00166AA4"/>
    <w:rsid w:val="00196771"/>
    <w:rsid w:val="001C30D8"/>
    <w:rsid w:val="001E1609"/>
    <w:rsid w:val="001F1167"/>
    <w:rsid w:val="001F3066"/>
    <w:rsid w:val="00202CDF"/>
    <w:rsid w:val="00212A35"/>
    <w:rsid w:val="00212B73"/>
    <w:rsid w:val="00215071"/>
    <w:rsid w:val="00226DBC"/>
    <w:rsid w:val="0022772D"/>
    <w:rsid w:val="0024510B"/>
    <w:rsid w:val="00245CF4"/>
    <w:rsid w:val="0024640D"/>
    <w:rsid w:val="0025522A"/>
    <w:rsid w:val="002557C1"/>
    <w:rsid w:val="00257FCB"/>
    <w:rsid w:val="002A2A32"/>
    <w:rsid w:val="002C6463"/>
    <w:rsid w:val="002D2333"/>
    <w:rsid w:val="002E4EB0"/>
    <w:rsid w:val="002E6656"/>
    <w:rsid w:val="00302C1C"/>
    <w:rsid w:val="00303FF5"/>
    <w:rsid w:val="00306844"/>
    <w:rsid w:val="003446CB"/>
    <w:rsid w:val="00347A20"/>
    <w:rsid w:val="00357228"/>
    <w:rsid w:val="00362097"/>
    <w:rsid w:val="003637D6"/>
    <w:rsid w:val="003A69E8"/>
    <w:rsid w:val="003B1608"/>
    <w:rsid w:val="003C33B8"/>
    <w:rsid w:val="003C70FF"/>
    <w:rsid w:val="003E3423"/>
    <w:rsid w:val="003E40B1"/>
    <w:rsid w:val="003F4302"/>
    <w:rsid w:val="00413C9F"/>
    <w:rsid w:val="00423830"/>
    <w:rsid w:val="00424C97"/>
    <w:rsid w:val="00463F1A"/>
    <w:rsid w:val="0048734C"/>
    <w:rsid w:val="004A21C6"/>
    <w:rsid w:val="004D605E"/>
    <w:rsid w:val="004E35BE"/>
    <w:rsid w:val="005036E4"/>
    <w:rsid w:val="005128A9"/>
    <w:rsid w:val="005301AD"/>
    <w:rsid w:val="00545355"/>
    <w:rsid w:val="005520FF"/>
    <w:rsid w:val="00575E09"/>
    <w:rsid w:val="005E2271"/>
    <w:rsid w:val="00625CC9"/>
    <w:rsid w:val="00626181"/>
    <w:rsid w:val="006367F0"/>
    <w:rsid w:val="0064344F"/>
    <w:rsid w:val="00663B75"/>
    <w:rsid w:val="00693E71"/>
    <w:rsid w:val="006A49CE"/>
    <w:rsid w:val="006A7656"/>
    <w:rsid w:val="006B07B6"/>
    <w:rsid w:val="006B521A"/>
    <w:rsid w:val="006E38C6"/>
    <w:rsid w:val="006E5782"/>
    <w:rsid w:val="006E62D3"/>
    <w:rsid w:val="006F6BBC"/>
    <w:rsid w:val="00707AF3"/>
    <w:rsid w:val="00717375"/>
    <w:rsid w:val="00745A3C"/>
    <w:rsid w:val="007617B5"/>
    <w:rsid w:val="00767C4A"/>
    <w:rsid w:val="00773A76"/>
    <w:rsid w:val="0077742F"/>
    <w:rsid w:val="00796BA8"/>
    <w:rsid w:val="007A55D1"/>
    <w:rsid w:val="007B5B2C"/>
    <w:rsid w:val="007D180C"/>
    <w:rsid w:val="007D45AD"/>
    <w:rsid w:val="007D66B9"/>
    <w:rsid w:val="007E1A51"/>
    <w:rsid w:val="007E4FC3"/>
    <w:rsid w:val="00811C19"/>
    <w:rsid w:val="008219CB"/>
    <w:rsid w:val="00823157"/>
    <w:rsid w:val="00826869"/>
    <w:rsid w:val="00826D9A"/>
    <w:rsid w:val="00865F4E"/>
    <w:rsid w:val="00865F94"/>
    <w:rsid w:val="00867855"/>
    <w:rsid w:val="00892252"/>
    <w:rsid w:val="008A34A8"/>
    <w:rsid w:val="008B3487"/>
    <w:rsid w:val="008C14BF"/>
    <w:rsid w:val="008F0C53"/>
    <w:rsid w:val="00967919"/>
    <w:rsid w:val="009726DD"/>
    <w:rsid w:val="009822E0"/>
    <w:rsid w:val="009842B6"/>
    <w:rsid w:val="009846CD"/>
    <w:rsid w:val="009865A5"/>
    <w:rsid w:val="009A5AA4"/>
    <w:rsid w:val="009B4EFC"/>
    <w:rsid w:val="009B591A"/>
    <w:rsid w:val="009E0F74"/>
    <w:rsid w:val="009F74A5"/>
    <w:rsid w:val="00A252E2"/>
    <w:rsid w:val="00A36303"/>
    <w:rsid w:val="00A3672F"/>
    <w:rsid w:val="00A565E4"/>
    <w:rsid w:val="00A64E3D"/>
    <w:rsid w:val="00A80118"/>
    <w:rsid w:val="00A83EAD"/>
    <w:rsid w:val="00A9087F"/>
    <w:rsid w:val="00AD6132"/>
    <w:rsid w:val="00AE1E55"/>
    <w:rsid w:val="00B01E1C"/>
    <w:rsid w:val="00B117A5"/>
    <w:rsid w:val="00B65796"/>
    <w:rsid w:val="00B95873"/>
    <w:rsid w:val="00BA6142"/>
    <w:rsid w:val="00BA7334"/>
    <w:rsid w:val="00BB27C3"/>
    <w:rsid w:val="00BB3908"/>
    <w:rsid w:val="00BB5463"/>
    <w:rsid w:val="00BC2938"/>
    <w:rsid w:val="00BD6FC3"/>
    <w:rsid w:val="00BE1529"/>
    <w:rsid w:val="00BE1EEC"/>
    <w:rsid w:val="00BF147A"/>
    <w:rsid w:val="00C143C8"/>
    <w:rsid w:val="00C15FEA"/>
    <w:rsid w:val="00C2763A"/>
    <w:rsid w:val="00C453B9"/>
    <w:rsid w:val="00C463FC"/>
    <w:rsid w:val="00C656B4"/>
    <w:rsid w:val="00C84937"/>
    <w:rsid w:val="00CD18BF"/>
    <w:rsid w:val="00CE5EDA"/>
    <w:rsid w:val="00CF6868"/>
    <w:rsid w:val="00D011A9"/>
    <w:rsid w:val="00D3347F"/>
    <w:rsid w:val="00D762A3"/>
    <w:rsid w:val="00D8140C"/>
    <w:rsid w:val="00D97A0E"/>
    <w:rsid w:val="00DA48F9"/>
    <w:rsid w:val="00DB6710"/>
    <w:rsid w:val="00DD4B7B"/>
    <w:rsid w:val="00E0306D"/>
    <w:rsid w:val="00E05C2A"/>
    <w:rsid w:val="00E07094"/>
    <w:rsid w:val="00E35345"/>
    <w:rsid w:val="00E5141A"/>
    <w:rsid w:val="00E5373C"/>
    <w:rsid w:val="00EB294D"/>
    <w:rsid w:val="00EE303A"/>
    <w:rsid w:val="00EF30D3"/>
    <w:rsid w:val="00EF392A"/>
    <w:rsid w:val="00EF78CD"/>
    <w:rsid w:val="00F02D65"/>
    <w:rsid w:val="00F214A0"/>
    <w:rsid w:val="00F464D0"/>
    <w:rsid w:val="00F50B6F"/>
    <w:rsid w:val="00F92B43"/>
    <w:rsid w:val="00F96B65"/>
    <w:rsid w:val="00FA5F04"/>
    <w:rsid w:val="00FC31AA"/>
    <w:rsid w:val="00FC3C9A"/>
    <w:rsid w:val="00FC6C89"/>
    <w:rsid w:val="00FD6F92"/>
    <w:rsid w:val="00FF19A8"/>
    <w:rsid w:val="00FF1B6B"/>
    <w:rsid w:val="00FF488C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3C93"/>
  <w15:docId w15:val="{D0A8B14D-EBCB-49A3-A444-1125CEB7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2A32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F74A5"/>
    <w:pPr>
      <w:keepNext/>
      <w:outlineLvl w:val="0"/>
    </w:pPr>
    <w:rPr>
      <w:b/>
      <w:bCs/>
      <w:sz w:val="36"/>
    </w:rPr>
  </w:style>
  <w:style w:type="paragraph" w:styleId="Kop2">
    <w:name w:val="heading 2"/>
    <w:basedOn w:val="Standaard"/>
    <w:next w:val="Standaard"/>
    <w:link w:val="Kop2Char"/>
    <w:qFormat/>
    <w:rsid w:val="00413C9F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9F74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9F74A5"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9F74A5"/>
    <w:pPr>
      <w:keepNext/>
      <w:outlineLvl w:val="4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F74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F74A5"/>
    <w:rPr>
      <w:rFonts w:ascii="Arial" w:hAnsi="Arial"/>
      <w:b/>
      <w:bCs/>
      <w:sz w:val="36"/>
      <w:szCs w:val="24"/>
    </w:rPr>
  </w:style>
  <w:style w:type="character" w:customStyle="1" w:styleId="Kop2Char">
    <w:name w:val="Kop 2 Char"/>
    <w:basedOn w:val="Standaardalinea-lettertype"/>
    <w:link w:val="Kop2"/>
    <w:rsid w:val="00413C9F"/>
    <w:rPr>
      <w:rFonts w:ascii="Arial" w:hAnsi="Arial"/>
      <w:b/>
      <w:bCs/>
      <w:i/>
      <w:iCs/>
      <w:sz w:val="24"/>
      <w:szCs w:val="28"/>
    </w:rPr>
  </w:style>
  <w:style w:type="character" w:customStyle="1" w:styleId="Kop3Char">
    <w:name w:val="Kop 3 Char"/>
    <w:basedOn w:val="Standaardalinea-lettertype"/>
    <w:link w:val="Kop3"/>
    <w:rsid w:val="009F74A5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9F74A5"/>
    <w:rPr>
      <w:b/>
      <w:bCs/>
      <w:sz w:val="24"/>
      <w:szCs w:val="24"/>
    </w:rPr>
  </w:style>
  <w:style w:type="character" w:customStyle="1" w:styleId="Kop5Char">
    <w:name w:val="Kop 5 Char"/>
    <w:basedOn w:val="Standaardalinea-lettertype"/>
    <w:link w:val="Kop5"/>
    <w:rsid w:val="009F74A5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74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9F74A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9F74A5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9F74A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F74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F74A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Opmaakprofiel1">
    <w:name w:val="Opmaakprofiel1"/>
    <w:basedOn w:val="Kop1"/>
    <w:qFormat/>
    <w:rsid w:val="009F74A5"/>
  </w:style>
  <w:style w:type="paragraph" w:styleId="Geenafstand">
    <w:name w:val="No Spacing"/>
    <w:link w:val="GeenafstandChar"/>
    <w:uiPriority w:val="1"/>
    <w:qFormat/>
    <w:rsid w:val="002A2A3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A2A3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2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A3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A2A3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A2A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2A32"/>
    <w:rPr>
      <w:rFonts w:ascii="Arial" w:hAnsi="Arial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A2A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A32"/>
    <w:rPr>
      <w:rFonts w:ascii="Arial" w:hAnsi="Arial"/>
      <w:sz w:val="24"/>
      <w:szCs w:val="24"/>
    </w:rPr>
  </w:style>
  <w:style w:type="paragraph" w:customStyle="1" w:styleId="Default">
    <w:name w:val="Default"/>
    <w:rsid w:val="00BB2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62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3">
    <w:name w:val="Light List Accent 3"/>
    <w:basedOn w:val="Standaardtabel"/>
    <w:uiPriority w:val="61"/>
    <w:rsid w:val="00FD6F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raster-accent3">
    <w:name w:val="Light Grid Accent 3"/>
    <w:basedOn w:val="Standaardtabel"/>
    <w:uiPriority w:val="62"/>
    <w:rsid w:val="00FD6F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3B16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160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1608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16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160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AFF1F4976FC4D97FDD5E3EAADFEE6" ma:contentTypeVersion="8" ma:contentTypeDescription="Een nieuw document maken." ma:contentTypeScope="" ma:versionID="4f1dbaa4269027cf77ef8b8e9788f6aa">
  <xsd:schema xmlns:xsd="http://www.w3.org/2001/XMLSchema" xmlns:xs="http://www.w3.org/2001/XMLSchema" xmlns:p="http://schemas.microsoft.com/office/2006/metadata/properties" xmlns:ns2="d706eb24-5dcd-4e93-b0fc-01283d47f05e" xmlns:ns3="dedbd517-783a-429f-8b30-faf8bee0fe9e" targetNamespace="http://schemas.microsoft.com/office/2006/metadata/properties" ma:root="true" ma:fieldsID="4ed74703ccf282c2be9c46a7fc2eca3a" ns2:_="" ns3:_="">
    <xsd:import namespace="d706eb24-5dcd-4e93-b0fc-01283d47f05e"/>
    <xsd:import namespace="dedbd517-783a-429f-8b30-faf8bee0fe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6eb24-5dcd-4e93-b0fc-01283d47f0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bd517-783a-429f-8b30-faf8bee0f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9CE99-7D4D-4359-8C33-515F116AB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6eb24-5dcd-4e93-b0fc-01283d47f05e"/>
    <ds:schemaRef ds:uri="dedbd517-783a-429f-8b30-faf8bee0f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0621B-93B9-4E11-9FFF-2F5AE063D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53D58-AFEF-4E79-8373-9061732FC73E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d706eb24-5dcd-4e93-b0fc-01283d47f05e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dedbd517-783a-429f-8b30-faf8bee0fe9e"/>
  </ds:schemaRefs>
</ds:datastoreItem>
</file>

<file path=customXml/itemProps4.xml><?xml version="1.0" encoding="utf-8"?>
<ds:datastoreItem xmlns:ds="http://schemas.openxmlformats.org/officeDocument/2006/customXml" ds:itemID="{4E3A7EB4-4EF8-411E-97A9-A1406D3D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2066</Words>
  <Characters>11369</Characters>
  <Application>Microsoft Office Word</Application>
  <DocSecurity>4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Energie Management Actieplan</vt:lpstr>
    </vt:vector>
  </TitlesOfParts>
  <Company>Nedcon Organisatieadvies b.v.</Company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Management Actieplan</dc:title>
  <dc:subject>Conform 3.B.2</dc:subject>
  <dc:creator>Nedcon Organisatieadvies b.v.</dc:creator>
  <cp:lastModifiedBy>Jorien Biesot</cp:lastModifiedBy>
  <cp:revision>2</cp:revision>
  <cp:lastPrinted>2018-10-01T08:49:00Z</cp:lastPrinted>
  <dcterms:created xsi:type="dcterms:W3CDTF">2018-10-01T08:54:00Z</dcterms:created>
  <dcterms:modified xsi:type="dcterms:W3CDTF">2018-10-01T08:54:00Z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0x0101004B6AFF1F4976FC4D97FDD5E3EAADFEE6</vt:lpwstr>
  </property>
</Properties>
</file>